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CA9C" w14:textId="77777777" w:rsidR="00183BCB" w:rsidRDefault="00183BCB" w:rsidP="00183BCB">
      <w:pPr>
        <w:pStyle w:val="Fecha"/>
        <w:spacing w:line="288" w:lineRule="auto"/>
        <w:rPr>
          <w:rFonts w:ascii="Verdana" w:hAnsi="Verdana"/>
          <w:b/>
          <w:color w:val="808080"/>
          <w:sz w:val="22"/>
          <w:szCs w:val="22"/>
        </w:rPr>
      </w:pPr>
      <w:bookmarkStart w:id="0" w:name="OLE_LINK3"/>
      <w:bookmarkStart w:id="1" w:name="OLE_LINK4"/>
      <w:r w:rsidRPr="00FE7B39">
        <w:rPr>
          <w:rFonts w:ascii="Verdana" w:hAnsi="Verdana"/>
          <w:b/>
          <w:color w:val="808080"/>
          <w:sz w:val="22"/>
          <w:szCs w:val="22"/>
        </w:rPr>
        <w:t>NOTA DE PRENSA</w:t>
      </w:r>
      <w:bookmarkEnd w:id="0"/>
      <w:bookmarkEnd w:id="1"/>
    </w:p>
    <w:p w14:paraId="575FE5CB" w14:textId="5A81553F" w:rsidR="00293DE7" w:rsidRPr="00980731" w:rsidRDefault="00293DE7" w:rsidP="00980731">
      <w:pPr>
        <w:pStyle w:val="Prrafodelista"/>
        <w:tabs>
          <w:tab w:val="left" w:pos="9639"/>
          <w:tab w:val="left" w:pos="9781"/>
        </w:tabs>
        <w:spacing w:after="240" w:line="312" w:lineRule="auto"/>
        <w:ind w:left="0"/>
        <w:jc w:val="center"/>
        <w:rPr>
          <w:rFonts w:ascii="Verdana" w:eastAsiaTheme="minorEastAsia" w:hAnsi="Verdana"/>
          <w:b/>
          <w:bCs/>
          <w:sz w:val="36"/>
          <w:szCs w:val="36"/>
        </w:rPr>
      </w:pPr>
      <w:bookmarkStart w:id="2" w:name="_Hlk77660347"/>
      <w:r w:rsidRPr="00980731">
        <w:rPr>
          <w:rFonts w:ascii="Verdana" w:eastAsiaTheme="minorEastAsia" w:hAnsi="Verdana"/>
          <w:b/>
          <w:bCs/>
          <w:sz w:val="36"/>
          <w:szCs w:val="36"/>
        </w:rPr>
        <w:t xml:space="preserve">España gana influencia en la </w:t>
      </w:r>
      <w:r w:rsidR="0023044F" w:rsidRPr="00980731">
        <w:rPr>
          <w:rFonts w:ascii="Verdana" w:eastAsiaTheme="minorEastAsia" w:hAnsi="Verdana"/>
          <w:b/>
          <w:bCs/>
          <w:sz w:val="36"/>
          <w:szCs w:val="36"/>
        </w:rPr>
        <w:t>n</w:t>
      </w:r>
      <w:r w:rsidRPr="00980731">
        <w:rPr>
          <w:rFonts w:ascii="Verdana" w:eastAsiaTheme="minorEastAsia" w:hAnsi="Verdana"/>
          <w:b/>
          <w:bCs/>
          <w:sz w:val="36"/>
          <w:szCs w:val="36"/>
        </w:rPr>
        <w:t xml:space="preserve">ormalización </w:t>
      </w:r>
      <w:r w:rsidR="0023044F" w:rsidRPr="00980731">
        <w:rPr>
          <w:rFonts w:ascii="Verdana" w:eastAsiaTheme="minorEastAsia" w:hAnsi="Verdana"/>
          <w:b/>
          <w:bCs/>
          <w:sz w:val="36"/>
          <w:szCs w:val="36"/>
        </w:rPr>
        <w:t>e</w:t>
      </w:r>
      <w:r w:rsidRPr="00980731">
        <w:rPr>
          <w:rFonts w:ascii="Verdana" w:eastAsiaTheme="minorEastAsia" w:hAnsi="Verdana"/>
          <w:b/>
          <w:bCs/>
          <w:sz w:val="36"/>
          <w:szCs w:val="36"/>
        </w:rPr>
        <w:t xml:space="preserve">uropea </w:t>
      </w:r>
      <w:r w:rsidR="00A6657B" w:rsidRPr="00980731">
        <w:rPr>
          <w:rFonts w:ascii="Verdana" w:eastAsiaTheme="minorEastAsia" w:hAnsi="Verdana"/>
          <w:b/>
          <w:bCs/>
          <w:sz w:val="36"/>
          <w:szCs w:val="36"/>
        </w:rPr>
        <w:t>como</w:t>
      </w:r>
      <w:r w:rsidRPr="00980731">
        <w:rPr>
          <w:rFonts w:ascii="Verdana" w:eastAsiaTheme="minorEastAsia" w:hAnsi="Verdana"/>
          <w:b/>
          <w:bCs/>
          <w:sz w:val="36"/>
          <w:szCs w:val="36"/>
        </w:rPr>
        <w:t xml:space="preserve"> consecuencia del </w:t>
      </w:r>
      <w:r w:rsidR="00D525F9" w:rsidRPr="002A104F">
        <w:rPr>
          <w:rFonts w:ascii="Verdana" w:eastAsiaTheme="minorEastAsia" w:hAnsi="Verdana"/>
          <w:b/>
          <w:bCs/>
          <w:i/>
          <w:iCs/>
          <w:sz w:val="36"/>
          <w:szCs w:val="36"/>
        </w:rPr>
        <w:t>b</w:t>
      </w:r>
      <w:r w:rsidRPr="002A104F">
        <w:rPr>
          <w:rFonts w:ascii="Verdana" w:eastAsiaTheme="minorEastAsia" w:hAnsi="Verdana"/>
          <w:b/>
          <w:bCs/>
          <w:i/>
          <w:iCs/>
          <w:sz w:val="36"/>
          <w:szCs w:val="36"/>
        </w:rPr>
        <w:t>rexit</w:t>
      </w:r>
    </w:p>
    <w:p w14:paraId="29CC08CF" w14:textId="77777777" w:rsidR="00A6657B" w:rsidRDefault="00A6657B" w:rsidP="00A6657B">
      <w:pPr>
        <w:pStyle w:val="Prrafodelista"/>
        <w:rPr>
          <w:rFonts w:ascii="Verdana" w:hAnsi="Verdana"/>
          <w:b/>
          <w:bCs/>
          <w:sz w:val="20"/>
          <w:szCs w:val="20"/>
        </w:rPr>
      </w:pPr>
    </w:p>
    <w:p w14:paraId="6D9D06D7" w14:textId="66C4DFD6" w:rsidR="00D525F9" w:rsidRPr="00980731" w:rsidRDefault="0023044F" w:rsidP="00980731">
      <w:pPr>
        <w:pStyle w:val="Prrafodelista"/>
        <w:numPr>
          <w:ilvl w:val="0"/>
          <w:numId w:val="1"/>
        </w:numPr>
        <w:tabs>
          <w:tab w:val="left" w:pos="9639"/>
          <w:tab w:val="left" w:pos="9781"/>
        </w:tabs>
        <w:spacing w:after="240" w:line="312" w:lineRule="auto"/>
        <w:jc w:val="both"/>
        <w:rPr>
          <w:rFonts w:ascii="Verdana" w:eastAsiaTheme="minorEastAsia" w:hAnsi="Verdana" w:cs="Arial"/>
          <w:b/>
          <w:bCs/>
          <w:spacing w:val="-4"/>
          <w:sz w:val="18"/>
          <w:szCs w:val="18"/>
          <w:lang w:eastAsia="es-ES"/>
        </w:rPr>
      </w:pPr>
      <w:r w:rsidRPr="00980731">
        <w:rPr>
          <w:rFonts w:ascii="Verdana" w:eastAsiaTheme="minorEastAsia" w:hAnsi="Verdana" w:cs="Arial"/>
          <w:b/>
          <w:bCs/>
          <w:spacing w:val="-4"/>
          <w:sz w:val="18"/>
          <w:szCs w:val="18"/>
          <w:lang w:eastAsia="es-ES"/>
        </w:rPr>
        <w:t>La Asociación Española de Normalización, UNE, logra la posición de miembro permanente en los Consejos de Administración de CEN y CENELEC</w:t>
      </w:r>
      <w:r w:rsidR="000941CD" w:rsidRPr="00980731">
        <w:rPr>
          <w:rFonts w:ascii="Verdana" w:eastAsiaTheme="minorEastAsia" w:hAnsi="Verdana" w:cs="Arial"/>
          <w:b/>
          <w:bCs/>
          <w:spacing w:val="-4"/>
          <w:sz w:val="18"/>
          <w:szCs w:val="18"/>
          <w:lang w:eastAsia="es-ES"/>
        </w:rPr>
        <w:t xml:space="preserve"> que hasta ahora tenía el organismo del Reino Unido</w:t>
      </w:r>
      <w:r w:rsidR="00E81C85" w:rsidRPr="00980731">
        <w:rPr>
          <w:rFonts w:ascii="Verdana" w:eastAsiaTheme="minorEastAsia" w:hAnsi="Verdana" w:cs="Arial"/>
          <w:b/>
          <w:bCs/>
          <w:spacing w:val="-4"/>
          <w:sz w:val="18"/>
          <w:szCs w:val="18"/>
          <w:lang w:eastAsia="es-ES"/>
        </w:rPr>
        <w:t>.</w:t>
      </w:r>
    </w:p>
    <w:p w14:paraId="7F200C6E" w14:textId="77777777" w:rsidR="0023044F" w:rsidRPr="00980731" w:rsidRDefault="0023044F" w:rsidP="00980731">
      <w:pPr>
        <w:pStyle w:val="Prrafodelista"/>
        <w:tabs>
          <w:tab w:val="left" w:pos="9639"/>
          <w:tab w:val="left" w:pos="9781"/>
        </w:tabs>
        <w:spacing w:after="240" w:line="312" w:lineRule="auto"/>
        <w:jc w:val="both"/>
        <w:rPr>
          <w:rFonts w:ascii="Verdana" w:eastAsiaTheme="minorEastAsia" w:hAnsi="Verdana" w:cs="Arial"/>
          <w:b/>
          <w:bCs/>
          <w:spacing w:val="-4"/>
          <w:sz w:val="18"/>
          <w:szCs w:val="18"/>
          <w:lang w:eastAsia="es-ES"/>
        </w:rPr>
      </w:pPr>
    </w:p>
    <w:p w14:paraId="6AD72BB1" w14:textId="28F86DFB" w:rsidR="0023044F" w:rsidRPr="00980731" w:rsidRDefault="0023044F" w:rsidP="00980731">
      <w:pPr>
        <w:pStyle w:val="Prrafodelista"/>
        <w:numPr>
          <w:ilvl w:val="0"/>
          <w:numId w:val="1"/>
        </w:numPr>
        <w:tabs>
          <w:tab w:val="left" w:pos="9639"/>
          <w:tab w:val="left" w:pos="9781"/>
        </w:tabs>
        <w:spacing w:after="240" w:line="312" w:lineRule="auto"/>
        <w:jc w:val="both"/>
        <w:rPr>
          <w:rFonts w:ascii="Verdana" w:eastAsiaTheme="minorEastAsia" w:hAnsi="Verdana" w:cs="Arial"/>
          <w:b/>
          <w:bCs/>
          <w:spacing w:val="-4"/>
          <w:sz w:val="18"/>
          <w:szCs w:val="18"/>
          <w:lang w:eastAsia="es-ES"/>
        </w:rPr>
      </w:pPr>
      <w:r w:rsidRPr="00980731">
        <w:rPr>
          <w:rFonts w:ascii="Verdana" w:eastAsiaTheme="minorEastAsia" w:hAnsi="Verdana" w:cs="Arial"/>
          <w:b/>
          <w:bCs/>
          <w:spacing w:val="-4"/>
          <w:sz w:val="18"/>
          <w:szCs w:val="18"/>
          <w:lang w:eastAsia="es-ES"/>
        </w:rPr>
        <w:t>España refuerza su posición en ambas organizaciones, aumentando la capacidad de influencia en los aspectos de política y estrategia</w:t>
      </w:r>
      <w:r w:rsidR="00E81C85" w:rsidRPr="00980731">
        <w:rPr>
          <w:rFonts w:ascii="Verdana" w:eastAsiaTheme="minorEastAsia" w:hAnsi="Verdana" w:cs="Arial"/>
          <w:b/>
          <w:bCs/>
          <w:spacing w:val="-4"/>
          <w:sz w:val="18"/>
          <w:szCs w:val="18"/>
          <w:lang w:eastAsia="es-ES"/>
        </w:rPr>
        <w:t>.</w:t>
      </w:r>
    </w:p>
    <w:bookmarkEnd w:id="2"/>
    <w:p w14:paraId="5D55D0D4" w14:textId="7182BBC1" w:rsidR="00D525F9" w:rsidRPr="00980731" w:rsidRDefault="00A6657B" w:rsidP="00980731">
      <w:pPr>
        <w:tabs>
          <w:tab w:val="left" w:pos="9639"/>
          <w:tab w:val="left" w:pos="9781"/>
        </w:tabs>
        <w:spacing w:after="120" w:line="312" w:lineRule="auto"/>
        <w:jc w:val="both"/>
        <w:rPr>
          <w:rFonts w:ascii="Verdana" w:eastAsiaTheme="minorEastAsia" w:hAnsi="Verdana" w:cs="Arial"/>
          <w:spacing w:val="-4"/>
          <w:sz w:val="18"/>
          <w:szCs w:val="18"/>
          <w:lang w:eastAsia="es-ES"/>
        </w:rPr>
      </w:pPr>
      <w:r w:rsidRPr="00980731">
        <w:rPr>
          <w:rFonts w:ascii="Verdana" w:hAnsi="Verdana"/>
          <w:b/>
          <w:bCs/>
          <w:sz w:val="18"/>
          <w:szCs w:val="18"/>
        </w:rPr>
        <w:t>20 de julio de 2021</w:t>
      </w:r>
      <w:r w:rsidR="00980731">
        <w:rPr>
          <w:rFonts w:ascii="Verdana" w:hAnsi="Verdana"/>
          <w:b/>
          <w:bCs/>
          <w:sz w:val="18"/>
          <w:szCs w:val="18"/>
        </w:rPr>
        <w:t>.</w:t>
      </w:r>
      <w:r w:rsidRPr="00980731">
        <w:rPr>
          <w:rFonts w:ascii="Verdana" w:hAnsi="Verdana"/>
          <w:sz w:val="18"/>
          <w:szCs w:val="18"/>
        </w:rPr>
        <w:t xml:space="preserve"> </w:t>
      </w:r>
      <w:r w:rsidR="00293DE7" w:rsidRPr="00980731">
        <w:rPr>
          <w:rFonts w:ascii="Verdana" w:eastAsiaTheme="minorEastAsia" w:hAnsi="Verdana" w:cs="Arial"/>
          <w:spacing w:val="-4"/>
          <w:sz w:val="18"/>
          <w:szCs w:val="18"/>
          <w:lang w:eastAsia="es-ES"/>
        </w:rPr>
        <w:t xml:space="preserve">El pasado 24 de junio se celebraron las Asambleas Generales de </w:t>
      </w:r>
      <w:r w:rsidR="00D525F9" w:rsidRPr="00980731">
        <w:rPr>
          <w:rFonts w:ascii="Verdana" w:eastAsiaTheme="minorEastAsia" w:hAnsi="Verdana" w:cs="Arial"/>
          <w:spacing w:val="-4"/>
          <w:sz w:val="18"/>
          <w:szCs w:val="18"/>
          <w:lang w:eastAsia="es-ES"/>
        </w:rPr>
        <w:t xml:space="preserve">los organismos europeos de normalización </w:t>
      </w:r>
      <w:r w:rsidR="00293DE7" w:rsidRPr="00980731">
        <w:rPr>
          <w:rFonts w:ascii="Verdana" w:eastAsiaTheme="minorEastAsia" w:hAnsi="Verdana" w:cs="Arial"/>
          <w:spacing w:val="-4"/>
          <w:sz w:val="18"/>
          <w:szCs w:val="18"/>
          <w:lang w:eastAsia="es-ES"/>
        </w:rPr>
        <w:t xml:space="preserve">CEN y CENELEC en las que se aprobaron unos nuevos </w:t>
      </w:r>
      <w:r w:rsidR="00293DE7" w:rsidRPr="002A104F">
        <w:rPr>
          <w:rFonts w:ascii="Verdana" w:eastAsiaTheme="minorEastAsia" w:hAnsi="Verdana" w:cs="Arial"/>
          <w:i/>
          <w:iCs/>
          <w:spacing w:val="-4"/>
          <w:sz w:val="18"/>
          <w:szCs w:val="18"/>
          <w:lang w:eastAsia="es-ES"/>
        </w:rPr>
        <w:t>Estatutos</w:t>
      </w:r>
      <w:r w:rsidR="00293DE7" w:rsidRPr="00980731">
        <w:rPr>
          <w:rFonts w:ascii="Verdana" w:eastAsiaTheme="minorEastAsia" w:hAnsi="Verdana" w:cs="Arial"/>
          <w:spacing w:val="-4"/>
          <w:sz w:val="18"/>
          <w:szCs w:val="18"/>
          <w:lang w:eastAsia="es-ES"/>
        </w:rPr>
        <w:t xml:space="preserve"> y Reglas Internas para ambas organizaciones que acomodan los cambios necesarios debidos al </w:t>
      </w:r>
      <w:r w:rsidR="00D525F9" w:rsidRPr="004F1493">
        <w:rPr>
          <w:rFonts w:ascii="Verdana" w:eastAsiaTheme="minorEastAsia" w:hAnsi="Verdana" w:cs="Arial"/>
          <w:i/>
          <w:iCs/>
          <w:spacing w:val="-4"/>
          <w:sz w:val="18"/>
          <w:szCs w:val="18"/>
          <w:lang w:eastAsia="es-ES"/>
        </w:rPr>
        <w:t>b</w:t>
      </w:r>
      <w:r w:rsidR="00293DE7" w:rsidRPr="004F1493">
        <w:rPr>
          <w:rFonts w:ascii="Verdana" w:eastAsiaTheme="minorEastAsia" w:hAnsi="Verdana" w:cs="Arial"/>
          <w:i/>
          <w:iCs/>
          <w:spacing w:val="-4"/>
          <w:sz w:val="18"/>
          <w:szCs w:val="18"/>
          <w:lang w:eastAsia="es-ES"/>
        </w:rPr>
        <w:t>rexit</w:t>
      </w:r>
      <w:r w:rsidR="00293DE7" w:rsidRPr="00980731">
        <w:rPr>
          <w:rFonts w:ascii="Verdana" w:eastAsiaTheme="minorEastAsia" w:hAnsi="Verdana" w:cs="Arial"/>
          <w:spacing w:val="-4"/>
          <w:sz w:val="18"/>
          <w:szCs w:val="18"/>
          <w:lang w:eastAsia="es-ES"/>
        </w:rPr>
        <w:t>.</w:t>
      </w:r>
    </w:p>
    <w:p w14:paraId="0C020768" w14:textId="74402EF1" w:rsidR="00293DE7" w:rsidRPr="00980731" w:rsidRDefault="00293DE7" w:rsidP="00980731">
      <w:pPr>
        <w:tabs>
          <w:tab w:val="left" w:pos="9639"/>
          <w:tab w:val="left" w:pos="9781"/>
        </w:tabs>
        <w:spacing w:after="120" w:line="312" w:lineRule="auto"/>
        <w:jc w:val="both"/>
        <w:rPr>
          <w:rFonts w:ascii="Verdana" w:eastAsiaTheme="minorEastAsia" w:hAnsi="Verdana" w:cs="Arial"/>
          <w:spacing w:val="-4"/>
          <w:sz w:val="18"/>
          <w:szCs w:val="18"/>
          <w:lang w:eastAsia="es-ES"/>
        </w:rPr>
      </w:pPr>
      <w:r w:rsidRPr="00980731">
        <w:rPr>
          <w:rFonts w:ascii="Verdana" w:eastAsiaTheme="minorEastAsia" w:hAnsi="Verdana" w:cs="Arial"/>
          <w:spacing w:val="-4"/>
          <w:sz w:val="18"/>
          <w:szCs w:val="18"/>
          <w:lang w:eastAsia="es-ES"/>
        </w:rPr>
        <w:t xml:space="preserve">Ambas organizaciones han optado por unos marcos de funcionamiento en los que se permite que el Reino Unido participe en la normalización europea, cumpliendo unos derechos y unas obligaciones claras que buscan asegurar la armonización normativa entre el Reino Unido y la Unión Europea bajo normas alineadas con las desarrolladas por las organizaciones europeas de normalización CEN y CENELEC, de tal modo que no se generen barreras técnicas al comercio entre ambos mercados. </w:t>
      </w:r>
    </w:p>
    <w:p w14:paraId="4B326DF4" w14:textId="4491C9A4" w:rsidR="00293DE7" w:rsidRPr="00980731" w:rsidRDefault="00293DE7" w:rsidP="00980731">
      <w:pPr>
        <w:tabs>
          <w:tab w:val="left" w:pos="9639"/>
          <w:tab w:val="left" w:pos="9781"/>
        </w:tabs>
        <w:spacing w:after="120" w:line="312" w:lineRule="auto"/>
        <w:jc w:val="both"/>
        <w:rPr>
          <w:rFonts w:ascii="Verdana" w:eastAsiaTheme="minorEastAsia" w:hAnsi="Verdana" w:cs="Arial"/>
          <w:spacing w:val="-4"/>
          <w:sz w:val="18"/>
          <w:szCs w:val="18"/>
          <w:lang w:eastAsia="es-ES"/>
        </w:rPr>
      </w:pPr>
      <w:r w:rsidRPr="00980731">
        <w:rPr>
          <w:rFonts w:ascii="Verdana" w:eastAsiaTheme="minorEastAsia" w:hAnsi="Verdana" w:cs="Arial"/>
          <w:spacing w:val="-4"/>
          <w:sz w:val="18"/>
          <w:szCs w:val="18"/>
          <w:lang w:eastAsia="es-ES"/>
        </w:rPr>
        <w:t xml:space="preserve">Asimismo, esta revisión de los Estatutos otorga a la </w:t>
      </w:r>
      <w:hyperlink r:id="rId7" w:history="1">
        <w:r w:rsidRPr="00980731">
          <w:rPr>
            <w:rStyle w:val="Hipervnculo"/>
            <w:rFonts w:ascii="Verdana" w:eastAsiaTheme="minorEastAsia" w:hAnsi="Verdana" w:cs="Arial"/>
            <w:spacing w:val="-4"/>
            <w:sz w:val="18"/>
            <w:szCs w:val="18"/>
            <w:lang w:eastAsia="es-ES"/>
          </w:rPr>
          <w:t>Asociación Española de Normalización, UNE,</w:t>
        </w:r>
      </w:hyperlink>
      <w:r w:rsidRPr="00980731">
        <w:rPr>
          <w:rFonts w:ascii="Verdana" w:eastAsiaTheme="minorEastAsia" w:hAnsi="Verdana" w:cs="Arial"/>
          <w:spacing w:val="-4"/>
          <w:sz w:val="18"/>
          <w:szCs w:val="18"/>
          <w:lang w:eastAsia="es-ES"/>
        </w:rPr>
        <w:t xml:space="preserve"> la posición que tenía hasta el momento el organismo de normalización del Reino Unido como miembro permanente </w:t>
      </w:r>
      <w:r w:rsidR="0023044F" w:rsidRPr="00980731">
        <w:rPr>
          <w:rFonts w:ascii="Verdana" w:eastAsiaTheme="minorEastAsia" w:hAnsi="Verdana" w:cs="Arial"/>
          <w:spacing w:val="-4"/>
          <w:sz w:val="18"/>
          <w:szCs w:val="18"/>
          <w:lang w:eastAsia="es-ES"/>
        </w:rPr>
        <w:t xml:space="preserve">en </w:t>
      </w:r>
      <w:r w:rsidRPr="00980731">
        <w:rPr>
          <w:rFonts w:ascii="Verdana" w:eastAsiaTheme="minorEastAsia" w:hAnsi="Verdana" w:cs="Arial"/>
          <w:spacing w:val="-4"/>
          <w:sz w:val="18"/>
          <w:szCs w:val="18"/>
          <w:lang w:eastAsia="es-ES"/>
        </w:rPr>
        <w:t xml:space="preserve">los Consejos de Administración de CEN y de CENELEC. De esta forma, España </w:t>
      </w:r>
      <w:r w:rsidR="0023044F" w:rsidRPr="00980731">
        <w:rPr>
          <w:rFonts w:ascii="Verdana" w:eastAsiaTheme="minorEastAsia" w:hAnsi="Verdana" w:cs="Arial"/>
          <w:spacing w:val="-4"/>
          <w:sz w:val="18"/>
          <w:szCs w:val="18"/>
          <w:lang w:eastAsia="es-ES"/>
        </w:rPr>
        <w:t xml:space="preserve">refuerza </w:t>
      </w:r>
      <w:r w:rsidRPr="00980731">
        <w:rPr>
          <w:rFonts w:ascii="Verdana" w:eastAsiaTheme="minorEastAsia" w:hAnsi="Verdana" w:cs="Arial"/>
          <w:spacing w:val="-4"/>
          <w:sz w:val="18"/>
          <w:szCs w:val="18"/>
          <w:lang w:eastAsia="es-ES"/>
        </w:rPr>
        <w:t>su posición en ambas organizaciones aumentando la capacidad de influencia en los aspectos de política y estrategia de CEN y CENELEC</w:t>
      </w:r>
      <w:r w:rsidR="0023044F" w:rsidRPr="00980731">
        <w:rPr>
          <w:rFonts w:ascii="Verdana" w:eastAsiaTheme="minorEastAsia" w:hAnsi="Verdana" w:cs="Arial"/>
          <w:spacing w:val="-4"/>
          <w:sz w:val="18"/>
          <w:szCs w:val="18"/>
          <w:lang w:eastAsia="es-ES"/>
        </w:rPr>
        <w:t>. UNE es el miembro español en los organismos europeos de normalización</w:t>
      </w:r>
      <w:r w:rsidRPr="00980731">
        <w:rPr>
          <w:rFonts w:ascii="Verdana" w:eastAsiaTheme="minorEastAsia" w:hAnsi="Verdana" w:cs="Arial"/>
          <w:spacing w:val="-4"/>
          <w:sz w:val="18"/>
          <w:szCs w:val="18"/>
          <w:lang w:eastAsia="es-ES"/>
        </w:rPr>
        <w:t>.</w:t>
      </w:r>
    </w:p>
    <w:p w14:paraId="5DD96A58" w14:textId="19BB98C3" w:rsidR="00E81C85" w:rsidRPr="00980731" w:rsidRDefault="00293DE7" w:rsidP="00980731">
      <w:pPr>
        <w:tabs>
          <w:tab w:val="left" w:pos="9639"/>
          <w:tab w:val="left" w:pos="9781"/>
        </w:tabs>
        <w:spacing w:after="120" w:line="312" w:lineRule="auto"/>
        <w:jc w:val="both"/>
        <w:rPr>
          <w:rFonts w:ascii="Verdana" w:eastAsiaTheme="minorEastAsia" w:hAnsi="Verdana" w:cs="Arial"/>
          <w:spacing w:val="-4"/>
          <w:sz w:val="18"/>
          <w:szCs w:val="18"/>
          <w:lang w:eastAsia="es-ES"/>
        </w:rPr>
      </w:pPr>
      <w:r w:rsidRPr="00980731">
        <w:rPr>
          <w:rFonts w:ascii="Verdana" w:eastAsiaTheme="minorEastAsia" w:hAnsi="Verdana" w:cs="Arial"/>
          <w:spacing w:val="-4"/>
          <w:sz w:val="18"/>
          <w:szCs w:val="18"/>
          <w:lang w:eastAsia="es-ES"/>
        </w:rPr>
        <w:t xml:space="preserve">Durante las Asambleas, con la participación de casi 200 representantes de los miembros de CEN y de CENELEC y de organizaciones </w:t>
      </w:r>
      <w:r w:rsidR="00C44B95" w:rsidRPr="00980731">
        <w:rPr>
          <w:rFonts w:ascii="Verdana" w:eastAsiaTheme="minorEastAsia" w:hAnsi="Verdana" w:cs="Arial"/>
          <w:spacing w:val="-4"/>
          <w:sz w:val="18"/>
          <w:szCs w:val="18"/>
          <w:lang w:eastAsia="es-ES"/>
        </w:rPr>
        <w:t>afines a</w:t>
      </w:r>
      <w:r w:rsidRPr="00980731">
        <w:rPr>
          <w:rFonts w:ascii="Verdana" w:eastAsiaTheme="minorEastAsia" w:hAnsi="Verdana" w:cs="Arial"/>
          <w:spacing w:val="-4"/>
          <w:sz w:val="18"/>
          <w:szCs w:val="18"/>
          <w:lang w:eastAsia="es-ES"/>
        </w:rPr>
        <w:t xml:space="preserve"> la normalización europea, se informó sobre los avances en la referencia a normas armonizadas</w:t>
      </w:r>
      <w:r w:rsidR="00C44B95" w:rsidRPr="00980731">
        <w:rPr>
          <w:rFonts w:ascii="Verdana" w:eastAsiaTheme="minorEastAsia" w:hAnsi="Verdana" w:cs="Arial"/>
          <w:spacing w:val="-4"/>
          <w:sz w:val="18"/>
          <w:szCs w:val="18"/>
          <w:lang w:eastAsia="es-ES"/>
        </w:rPr>
        <w:t xml:space="preserve"> en el Diario Oficial de la Unión Europea, fortaleciendo así el modelo regulatorio basado en normas técnicas.</w:t>
      </w:r>
    </w:p>
    <w:p w14:paraId="2D698F36" w14:textId="14179B49" w:rsidR="003F0824" w:rsidRPr="00980731" w:rsidRDefault="00293DE7" w:rsidP="00980731">
      <w:pPr>
        <w:tabs>
          <w:tab w:val="left" w:pos="9639"/>
          <w:tab w:val="left" w:pos="9781"/>
        </w:tabs>
        <w:spacing w:after="120" w:line="312" w:lineRule="auto"/>
        <w:jc w:val="both"/>
        <w:rPr>
          <w:rFonts w:ascii="Verdana" w:eastAsiaTheme="minorEastAsia" w:hAnsi="Verdana" w:cs="Arial"/>
          <w:spacing w:val="-4"/>
          <w:sz w:val="18"/>
          <w:szCs w:val="18"/>
          <w:lang w:eastAsia="es-ES"/>
        </w:rPr>
      </w:pPr>
      <w:r w:rsidRPr="00980731">
        <w:rPr>
          <w:rFonts w:ascii="Verdana" w:eastAsiaTheme="minorEastAsia" w:hAnsi="Verdana" w:cs="Arial"/>
          <w:spacing w:val="-4"/>
          <w:sz w:val="18"/>
          <w:szCs w:val="18"/>
          <w:lang w:eastAsia="es-ES"/>
        </w:rPr>
        <w:t xml:space="preserve">Así, la UE y EFTA </w:t>
      </w:r>
      <w:r w:rsidR="0023044F" w:rsidRPr="00980731">
        <w:rPr>
          <w:rFonts w:ascii="Verdana" w:eastAsiaTheme="minorEastAsia" w:hAnsi="Verdana" w:cs="Arial"/>
          <w:spacing w:val="-4"/>
          <w:sz w:val="18"/>
          <w:szCs w:val="18"/>
          <w:lang w:eastAsia="es-ES"/>
        </w:rPr>
        <w:t xml:space="preserve">(Asociación Europea de Libre Comercio) </w:t>
      </w:r>
      <w:r w:rsidRPr="00980731">
        <w:rPr>
          <w:rFonts w:ascii="Verdana" w:eastAsiaTheme="minorEastAsia" w:hAnsi="Verdana" w:cs="Arial"/>
          <w:spacing w:val="-4"/>
          <w:sz w:val="18"/>
          <w:szCs w:val="18"/>
          <w:lang w:eastAsia="es-ES"/>
        </w:rPr>
        <w:t>reconocen y utilizan el valor estratégico del sistema europeo de normalización, buscando soluciones que fomenten el uso de las normas, tanto como apoyo al despliegue de políticas públicas como dando respuesta a las necesidades del mercado</w:t>
      </w:r>
      <w:r w:rsidR="00C44B95" w:rsidRPr="00980731">
        <w:rPr>
          <w:rFonts w:ascii="Verdana" w:eastAsiaTheme="minorEastAsia" w:hAnsi="Verdana" w:cs="Arial"/>
          <w:spacing w:val="-4"/>
          <w:sz w:val="18"/>
          <w:szCs w:val="18"/>
          <w:lang w:eastAsia="es-ES"/>
        </w:rPr>
        <w:t xml:space="preserve"> y la sociedad en general</w:t>
      </w:r>
      <w:r w:rsidRPr="00980731">
        <w:rPr>
          <w:rFonts w:ascii="Verdana" w:eastAsiaTheme="minorEastAsia" w:hAnsi="Verdana" w:cs="Arial"/>
          <w:spacing w:val="-4"/>
          <w:sz w:val="18"/>
          <w:szCs w:val="18"/>
          <w:lang w:eastAsia="es-ES"/>
        </w:rPr>
        <w:t>.</w:t>
      </w:r>
    </w:p>
    <w:p w14:paraId="68ACEB0D" w14:textId="27F168FA" w:rsidR="00183BCB" w:rsidRDefault="00183BCB" w:rsidP="00A6657B">
      <w:pPr>
        <w:jc w:val="both"/>
        <w:rPr>
          <w:rFonts w:ascii="Verdana" w:hAnsi="Verdana"/>
          <w:sz w:val="20"/>
          <w:szCs w:val="20"/>
        </w:rPr>
      </w:pPr>
    </w:p>
    <w:p w14:paraId="735514D6" w14:textId="220D43AA" w:rsidR="00980731" w:rsidRDefault="00980731" w:rsidP="00A6657B">
      <w:pPr>
        <w:jc w:val="both"/>
        <w:rPr>
          <w:rFonts w:ascii="Verdana" w:hAnsi="Verdana"/>
          <w:sz w:val="20"/>
          <w:szCs w:val="20"/>
        </w:rPr>
      </w:pPr>
    </w:p>
    <w:p w14:paraId="71E99637" w14:textId="2934A46F" w:rsidR="00980731" w:rsidRDefault="00980731" w:rsidP="00A6657B">
      <w:pPr>
        <w:jc w:val="both"/>
        <w:rPr>
          <w:rFonts w:ascii="Verdana" w:hAnsi="Verdana"/>
          <w:sz w:val="20"/>
          <w:szCs w:val="20"/>
        </w:rPr>
      </w:pPr>
    </w:p>
    <w:p w14:paraId="6394F1E4" w14:textId="6410A12D" w:rsidR="00980731" w:rsidRDefault="00980731" w:rsidP="00A6657B">
      <w:pPr>
        <w:jc w:val="both"/>
        <w:rPr>
          <w:rFonts w:ascii="Verdana" w:hAnsi="Verdana"/>
          <w:sz w:val="20"/>
          <w:szCs w:val="20"/>
        </w:rPr>
      </w:pPr>
    </w:p>
    <w:p w14:paraId="6D042405" w14:textId="52E6CA81" w:rsidR="00980731" w:rsidRDefault="00980731" w:rsidP="00A6657B">
      <w:pPr>
        <w:jc w:val="both"/>
        <w:rPr>
          <w:rFonts w:ascii="Verdana" w:hAnsi="Verdana"/>
          <w:sz w:val="20"/>
          <w:szCs w:val="20"/>
        </w:rPr>
      </w:pPr>
    </w:p>
    <w:p w14:paraId="7AF385E9" w14:textId="6B652DAF" w:rsidR="00980731" w:rsidRDefault="00980731" w:rsidP="00A6657B">
      <w:pPr>
        <w:jc w:val="both"/>
        <w:rPr>
          <w:rFonts w:ascii="Verdana" w:hAnsi="Verdana"/>
          <w:sz w:val="20"/>
          <w:szCs w:val="20"/>
        </w:rPr>
      </w:pPr>
    </w:p>
    <w:p w14:paraId="23967E19" w14:textId="5F7051BB" w:rsidR="00980731" w:rsidRDefault="00980731" w:rsidP="00A6657B">
      <w:pPr>
        <w:jc w:val="both"/>
        <w:rPr>
          <w:rFonts w:ascii="Verdana" w:hAnsi="Verdana"/>
          <w:sz w:val="20"/>
          <w:szCs w:val="20"/>
        </w:rPr>
      </w:pPr>
    </w:p>
    <w:p w14:paraId="228C8E58" w14:textId="77777777" w:rsidR="00980731" w:rsidRDefault="00980731" w:rsidP="00980731">
      <w:pPr>
        <w:tabs>
          <w:tab w:val="left" w:pos="9781"/>
        </w:tabs>
        <w:jc w:val="both"/>
        <w:rPr>
          <w:rFonts w:ascii="Verdana" w:hAnsi="Verdana" w:cs="Verdana"/>
          <w:b/>
          <w:bCs/>
          <w:sz w:val="16"/>
          <w:szCs w:val="16"/>
        </w:rPr>
      </w:pPr>
    </w:p>
    <w:p w14:paraId="72BCD357" w14:textId="77777777" w:rsidR="00980731" w:rsidRDefault="00980731" w:rsidP="00980731">
      <w:pPr>
        <w:tabs>
          <w:tab w:val="left" w:pos="9781"/>
        </w:tabs>
        <w:jc w:val="both"/>
        <w:rPr>
          <w:rFonts w:ascii="Verdana" w:hAnsi="Verdana" w:cs="Verdana"/>
          <w:b/>
          <w:bCs/>
          <w:sz w:val="16"/>
          <w:szCs w:val="16"/>
        </w:rPr>
      </w:pPr>
    </w:p>
    <w:p w14:paraId="3AB815B1" w14:textId="77777777" w:rsidR="00980731" w:rsidRDefault="00980731" w:rsidP="00980731">
      <w:pPr>
        <w:tabs>
          <w:tab w:val="left" w:pos="9781"/>
        </w:tabs>
        <w:jc w:val="both"/>
        <w:rPr>
          <w:rFonts w:ascii="Verdana" w:hAnsi="Verdana" w:cs="Verdana"/>
          <w:b/>
          <w:bCs/>
          <w:sz w:val="16"/>
          <w:szCs w:val="16"/>
        </w:rPr>
      </w:pPr>
    </w:p>
    <w:p w14:paraId="7A4E1A6A" w14:textId="77777777" w:rsidR="00980731" w:rsidRDefault="00980731" w:rsidP="00980731">
      <w:pPr>
        <w:tabs>
          <w:tab w:val="left" w:pos="9781"/>
        </w:tabs>
        <w:jc w:val="both"/>
        <w:rPr>
          <w:rFonts w:ascii="Verdana" w:hAnsi="Verdana" w:cs="Verdana"/>
          <w:b/>
          <w:bCs/>
          <w:sz w:val="16"/>
          <w:szCs w:val="16"/>
        </w:rPr>
      </w:pPr>
    </w:p>
    <w:p w14:paraId="5554B4D3" w14:textId="77777777" w:rsidR="00980731" w:rsidRDefault="00980731" w:rsidP="00980731">
      <w:pPr>
        <w:tabs>
          <w:tab w:val="left" w:pos="9781"/>
        </w:tabs>
        <w:jc w:val="both"/>
        <w:rPr>
          <w:rFonts w:ascii="Verdana" w:hAnsi="Verdana" w:cs="Verdana"/>
          <w:b/>
          <w:bCs/>
          <w:sz w:val="16"/>
          <w:szCs w:val="16"/>
        </w:rPr>
      </w:pPr>
    </w:p>
    <w:p w14:paraId="6C4CB98E" w14:textId="215858D5" w:rsidR="00980731" w:rsidRPr="00980731" w:rsidRDefault="00980731" w:rsidP="00980731">
      <w:pPr>
        <w:tabs>
          <w:tab w:val="left" w:pos="9781"/>
        </w:tabs>
        <w:jc w:val="both"/>
        <w:rPr>
          <w:rFonts w:ascii="Verdana" w:hAnsi="Verdana" w:cs="Verdana"/>
          <w:b/>
          <w:bCs/>
          <w:sz w:val="16"/>
          <w:szCs w:val="16"/>
        </w:rPr>
      </w:pPr>
      <w:r w:rsidRPr="00980731">
        <w:rPr>
          <w:rFonts w:ascii="Verdana" w:hAnsi="Verdana" w:cs="Verdana"/>
          <w:b/>
          <w:bCs/>
          <w:sz w:val="16"/>
          <w:szCs w:val="16"/>
        </w:rPr>
        <w:t xml:space="preserve">Sobre la Asociación Española de Normalización, UNE </w:t>
      </w:r>
    </w:p>
    <w:p w14:paraId="3FD8D044" w14:textId="77777777" w:rsidR="00980731" w:rsidRPr="00980731" w:rsidRDefault="00980731" w:rsidP="00980731">
      <w:pPr>
        <w:jc w:val="both"/>
        <w:rPr>
          <w:rFonts w:ascii="Verdana" w:hAnsi="Verdana"/>
          <w:sz w:val="16"/>
          <w:szCs w:val="16"/>
        </w:rPr>
      </w:pPr>
      <w:r w:rsidRPr="00980731">
        <w:rPr>
          <w:rFonts w:ascii="Verdana" w:hAnsi="Verdana"/>
          <w:sz w:val="16"/>
          <w:szCs w:val="16"/>
        </w:rPr>
        <w:t xml:space="preserve">La Asociación Española de Normalización, UNE, es la entidad legalmente responsable del desarrollo de las normas técnicas, más conocidas como estándares. Las normas recogen el consenso del mercado sobre las mejores prácticas en aspectos clave para la competitividad de las organizaciones, siendo el resultado de la labor conjunta de los sectores económicos y administraciones. Así, UNE ayuda a las organizaciones a superar con éxito los desafíos a los que se enfrentan en campos como la innovación, digitalización e industria 4.0, ciberseguridad, exportaciones, </w:t>
      </w:r>
      <w:proofErr w:type="spellStart"/>
      <w:r w:rsidRPr="00980731">
        <w:rPr>
          <w:rFonts w:ascii="Verdana" w:hAnsi="Verdana"/>
          <w:sz w:val="16"/>
          <w:szCs w:val="16"/>
        </w:rPr>
        <w:t>compliance</w:t>
      </w:r>
      <w:proofErr w:type="spellEnd"/>
      <w:r w:rsidRPr="00980731">
        <w:rPr>
          <w:rFonts w:ascii="Verdana" w:hAnsi="Verdana"/>
          <w:sz w:val="16"/>
          <w:szCs w:val="16"/>
        </w:rPr>
        <w:t xml:space="preserve"> y responsabilidad social o el despliegue eficaz de políticas públicas. </w:t>
      </w:r>
    </w:p>
    <w:p w14:paraId="41EFAAD9" w14:textId="77777777" w:rsidR="00980731" w:rsidRPr="00980731" w:rsidRDefault="00980731" w:rsidP="00980731">
      <w:pPr>
        <w:jc w:val="both"/>
        <w:rPr>
          <w:rFonts w:ascii="Verdana" w:hAnsi="Verdana"/>
          <w:sz w:val="16"/>
          <w:szCs w:val="16"/>
        </w:rPr>
      </w:pPr>
      <w:r w:rsidRPr="00980731">
        <w:rPr>
          <w:rFonts w:ascii="Verdana" w:hAnsi="Verdana"/>
          <w:sz w:val="16"/>
          <w:szCs w:val="16"/>
        </w:rPr>
        <w:t xml:space="preserve">Más de 12.000 expertos participan en su elaboración en alguno de los 226 Comités Técnicos de Normalización que desarrollan su trabajo en UNE. </w:t>
      </w:r>
    </w:p>
    <w:p w14:paraId="41D6FD12" w14:textId="77777777" w:rsidR="00980731" w:rsidRPr="00980731" w:rsidRDefault="00980731" w:rsidP="00980731">
      <w:pPr>
        <w:jc w:val="both"/>
        <w:rPr>
          <w:rFonts w:ascii="Verdana" w:hAnsi="Verdana"/>
          <w:sz w:val="16"/>
          <w:szCs w:val="16"/>
        </w:rPr>
      </w:pPr>
      <w:r w:rsidRPr="00980731">
        <w:rPr>
          <w:rFonts w:ascii="Verdana" w:hAnsi="Verdana"/>
          <w:sz w:val="16"/>
          <w:szCs w:val="16"/>
        </w:rPr>
        <w:t xml:space="preserve">Es el representante español ante los organismos de Normalización internacionales (ISO e IEC), europeos (CEN y CENELEC) y en COPANT (América); asimismo es el organismo de normalización español en ETSI. UNE lleva la voz de los expertos españoles a los foros mundiales en los que se discuten normas clave para su competitividad. </w:t>
      </w:r>
    </w:p>
    <w:p w14:paraId="6C865741" w14:textId="77777777" w:rsidR="00980731" w:rsidRPr="00980731" w:rsidRDefault="00980731" w:rsidP="00980731">
      <w:pPr>
        <w:jc w:val="both"/>
        <w:rPr>
          <w:rFonts w:ascii="Verdana" w:hAnsi="Verdana"/>
          <w:sz w:val="16"/>
          <w:szCs w:val="16"/>
        </w:rPr>
      </w:pPr>
      <w:r w:rsidRPr="00980731">
        <w:rPr>
          <w:rFonts w:ascii="Verdana" w:hAnsi="Verdana"/>
          <w:sz w:val="16"/>
          <w:szCs w:val="16"/>
        </w:rPr>
        <w:t>Asimismo, desarrolla una intensa labor de Cooperación Internacional, con más de 900 actividades ya ejecutadas que apoyan el desarrollo de una infraestructura de la calidad sólida en regiones relevantes para los intereses comerciales españoles.</w:t>
      </w:r>
    </w:p>
    <w:p w14:paraId="33CBF253" w14:textId="321C28D4" w:rsidR="00980731" w:rsidRPr="00980731" w:rsidRDefault="00980731" w:rsidP="00980731">
      <w:pPr>
        <w:rPr>
          <w:rFonts w:ascii="Verdana" w:hAnsi="Verdana"/>
          <w:sz w:val="16"/>
          <w:szCs w:val="16"/>
          <w:highlight w:val="yellow"/>
        </w:rPr>
      </w:pPr>
    </w:p>
    <w:p w14:paraId="272C2DB4" w14:textId="64E2074A" w:rsidR="00980731" w:rsidRPr="00980731" w:rsidRDefault="00980731" w:rsidP="00980731">
      <w:pPr>
        <w:rPr>
          <w:rFonts w:ascii="Verdana" w:hAnsi="Verdana"/>
          <w:sz w:val="16"/>
          <w:szCs w:val="16"/>
          <w:highlight w:val="yellow"/>
        </w:rPr>
      </w:pPr>
    </w:p>
    <w:p w14:paraId="74C95EAB" w14:textId="24E1E8B0" w:rsidR="00980731" w:rsidRDefault="00980731" w:rsidP="00980731">
      <w:pPr>
        <w:spacing w:after="0" w:line="360" w:lineRule="auto"/>
        <w:ind w:left="-170" w:right="-284"/>
        <w:mirrorIndents/>
        <w:rPr>
          <w:rFonts w:ascii="Verdana" w:eastAsia="SimSun" w:hAnsi="Verdana" w:cs="Arial"/>
          <w:b/>
          <w:sz w:val="16"/>
          <w:szCs w:val="16"/>
          <w:lang w:eastAsia="es-ES"/>
        </w:rPr>
      </w:pPr>
      <w:r w:rsidRPr="00980731">
        <w:rPr>
          <w:rFonts w:ascii="Verdana" w:hAnsi="Verdana"/>
          <w:b/>
          <w:sz w:val="16"/>
          <w:szCs w:val="16"/>
        </w:rPr>
        <w:t xml:space="preserve"> </w:t>
      </w:r>
      <w:r w:rsidRPr="00980731">
        <w:rPr>
          <w:rFonts w:ascii="Verdana" w:eastAsia="SimSun" w:hAnsi="Verdana" w:cs="Arial"/>
          <w:b/>
          <w:sz w:val="16"/>
          <w:szCs w:val="16"/>
          <w:lang w:eastAsia="es-ES"/>
        </w:rPr>
        <w:t xml:space="preserve">Para más información: </w:t>
      </w:r>
    </w:p>
    <w:p w14:paraId="0DCDD116" w14:textId="77777777" w:rsidR="00980731" w:rsidRPr="00980731" w:rsidRDefault="00980731" w:rsidP="00980731">
      <w:pPr>
        <w:spacing w:after="0" w:line="360" w:lineRule="auto"/>
        <w:ind w:left="-170" w:right="-284"/>
        <w:mirrorIndents/>
        <w:rPr>
          <w:rFonts w:ascii="Verdana" w:eastAsia="SimSun" w:hAnsi="Verdana" w:cs="Arial"/>
          <w:b/>
          <w:sz w:val="16"/>
          <w:szCs w:val="16"/>
          <w:lang w:eastAsia="es-ES"/>
        </w:rPr>
      </w:pPr>
    </w:p>
    <w:p w14:paraId="2FAD6F25" w14:textId="38AAF5BB" w:rsidR="00980731" w:rsidRPr="00980731" w:rsidRDefault="00980731" w:rsidP="00980731">
      <w:pPr>
        <w:spacing w:after="0" w:line="360" w:lineRule="auto"/>
        <w:ind w:right="-284"/>
        <w:mirrorIndents/>
        <w:rPr>
          <w:rFonts w:ascii="Verdana" w:eastAsia="SimSun" w:hAnsi="Verdana" w:cs="Arial"/>
          <w:b/>
          <w:sz w:val="16"/>
          <w:szCs w:val="16"/>
          <w:lang w:eastAsia="es-ES"/>
        </w:rPr>
      </w:pPr>
      <w:r w:rsidRPr="00980731">
        <w:rPr>
          <w:rFonts w:ascii="Verdana" w:eastAsia="SimSun" w:hAnsi="Verdana" w:cs="Arial"/>
          <w:b/>
          <w:sz w:val="16"/>
          <w:szCs w:val="16"/>
          <w:lang w:eastAsia="es-ES"/>
        </w:rPr>
        <w:t xml:space="preserve">     Asociación Española de Normalización, UNE</w:t>
      </w:r>
    </w:p>
    <w:p w14:paraId="72882601" w14:textId="77777777" w:rsidR="00980731" w:rsidRPr="00980731" w:rsidRDefault="00980731" w:rsidP="00980731">
      <w:pPr>
        <w:autoSpaceDE w:val="0"/>
        <w:autoSpaceDN w:val="0"/>
        <w:adjustRightInd w:val="0"/>
        <w:spacing w:after="0" w:line="360" w:lineRule="auto"/>
        <w:mirrorIndents/>
        <w:rPr>
          <w:rFonts w:ascii="Verdana" w:eastAsia="SimSun" w:hAnsi="Verdana" w:cs="Arial"/>
          <w:bCs/>
          <w:iCs/>
          <w:sz w:val="16"/>
          <w:szCs w:val="16"/>
          <w:lang w:eastAsia="es-ES"/>
        </w:rPr>
      </w:pPr>
      <w:r w:rsidRPr="00980731">
        <w:rPr>
          <w:rFonts w:ascii="Verdana" w:eastAsia="SimSun" w:hAnsi="Verdana" w:cs="Arial"/>
          <w:bCs/>
          <w:iCs/>
          <w:sz w:val="16"/>
          <w:szCs w:val="16"/>
          <w:lang w:eastAsia="es-ES"/>
        </w:rPr>
        <w:t xml:space="preserve">Vanesa Guerrero </w:t>
      </w:r>
      <w:r w:rsidRPr="00980731">
        <w:rPr>
          <w:rFonts w:ascii="Verdana" w:eastAsia="SimSun" w:hAnsi="Verdana" w:cs="Arial"/>
          <w:bCs/>
          <w:iCs/>
          <w:sz w:val="16"/>
          <w:szCs w:val="16"/>
          <w:lang w:eastAsia="es-ES"/>
        </w:rPr>
        <w:br/>
        <w:t>Responsable de Comunicación</w:t>
      </w:r>
    </w:p>
    <w:p w14:paraId="6C26E7D3" w14:textId="77777777" w:rsidR="00980731" w:rsidRPr="00980731" w:rsidRDefault="00980731" w:rsidP="00980731">
      <w:pPr>
        <w:autoSpaceDE w:val="0"/>
        <w:autoSpaceDN w:val="0"/>
        <w:adjustRightInd w:val="0"/>
        <w:spacing w:after="0" w:line="360" w:lineRule="auto"/>
        <w:mirrorIndents/>
        <w:rPr>
          <w:rFonts w:ascii="Verdana" w:eastAsia="SimSun" w:hAnsi="Verdana" w:cs="Arial"/>
          <w:bCs/>
          <w:iCs/>
          <w:sz w:val="16"/>
          <w:szCs w:val="16"/>
          <w:lang w:eastAsia="es-ES"/>
        </w:rPr>
      </w:pPr>
      <w:r w:rsidRPr="00980731">
        <w:rPr>
          <w:rFonts w:ascii="Verdana" w:eastAsia="SimSun" w:hAnsi="Verdana" w:cs="Arial"/>
          <w:bCs/>
          <w:iCs/>
          <w:sz w:val="16"/>
          <w:szCs w:val="16"/>
          <w:lang w:eastAsia="es-ES"/>
        </w:rPr>
        <w:t>Tel. 686 69 73 96</w:t>
      </w:r>
    </w:p>
    <w:p w14:paraId="2B988669" w14:textId="77777777" w:rsidR="00980731" w:rsidRPr="00980731" w:rsidRDefault="004F1493" w:rsidP="00980731">
      <w:pPr>
        <w:autoSpaceDE w:val="0"/>
        <w:autoSpaceDN w:val="0"/>
        <w:adjustRightInd w:val="0"/>
        <w:spacing w:after="0" w:line="360" w:lineRule="auto"/>
        <w:mirrorIndents/>
        <w:rPr>
          <w:rFonts w:ascii="Verdana" w:eastAsia="SimSun" w:hAnsi="Verdana" w:cs="Arial"/>
          <w:bCs/>
          <w:iCs/>
          <w:sz w:val="16"/>
          <w:szCs w:val="16"/>
          <w:lang w:eastAsia="es-ES"/>
        </w:rPr>
      </w:pPr>
      <w:hyperlink r:id="rId8" w:history="1">
        <w:r w:rsidR="00980731" w:rsidRPr="00980731">
          <w:rPr>
            <w:rFonts w:ascii="Verdana" w:eastAsia="SimSun" w:hAnsi="Verdana" w:cs="Arial"/>
            <w:bCs/>
            <w:iCs/>
            <w:color w:val="0563C1"/>
            <w:sz w:val="16"/>
            <w:szCs w:val="16"/>
            <w:u w:val="single"/>
            <w:lang w:eastAsia="es-ES"/>
          </w:rPr>
          <w:t>vguerrero@une.org</w:t>
        </w:r>
      </w:hyperlink>
      <w:r w:rsidR="00980731" w:rsidRPr="00980731">
        <w:rPr>
          <w:rFonts w:ascii="Verdana" w:eastAsia="SimSun" w:hAnsi="Verdana" w:cs="Arial"/>
          <w:bCs/>
          <w:iCs/>
          <w:sz w:val="16"/>
          <w:szCs w:val="16"/>
          <w:lang w:eastAsia="es-ES"/>
        </w:rPr>
        <w:t xml:space="preserve"> </w:t>
      </w:r>
    </w:p>
    <w:p w14:paraId="15692E42" w14:textId="77777777" w:rsidR="00980731" w:rsidRPr="00980731" w:rsidRDefault="004F1493" w:rsidP="00980731">
      <w:pPr>
        <w:autoSpaceDE w:val="0"/>
        <w:autoSpaceDN w:val="0"/>
        <w:adjustRightInd w:val="0"/>
        <w:spacing w:after="0" w:line="360" w:lineRule="auto"/>
        <w:mirrorIndents/>
        <w:rPr>
          <w:rFonts w:ascii="Verdana" w:eastAsia="SimSun" w:hAnsi="Verdana" w:cs="Arial"/>
          <w:sz w:val="16"/>
          <w:szCs w:val="16"/>
          <w:lang w:val="fr-CM" w:eastAsia="es-ES"/>
        </w:rPr>
      </w:pPr>
      <w:hyperlink r:id="rId9" w:history="1">
        <w:r w:rsidR="00980731" w:rsidRPr="00980731">
          <w:rPr>
            <w:rFonts w:ascii="Verdana" w:eastAsia="SimSun" w:hAnsi="Verdana" w:cs="Arial"/>
            <w:color w:val="0563C1"/>
            <w:sz w:val="16"/>
            <w:szCs w:val="16"/>
            <w:u w:val="single"/>
            <w:lang w:val="fr-CM" w:eastAsia="es-ES"/>
          </w:rPr>
          <w:t>www.une.org</w:t>
        </w:r>
      </w:hyperlink>
      <w:r w:rsidR="00980731" w:rsidRPr="00980731">
        <w:rPr>
          <w:rFonts w:ascii="Verdana" w:eastAsia="SimSun" w:hAnsi="Verdana" w:cs="Arial"/>
          <w:sz w:val="16"/>
          <w:szCs w:val="16"/>
          <w:lang w:val="fr-CM" w:eastAsia="es-ES"/>
        </w:rPr>
        <w:t xml:space="preserve"> </w:t>
      </w:r>
    </w:p>
    <w:p w14:paraId="15EC0572" w14:textId="77777777" w:rsidR="00980731" w:rsidRPr="00980731" w:rsidRDefault="00980731" w:rsidP="00980731">
      <w:pPr>
        <w:spacing w:after="0" w:line="360" w:lineRule="auto"/>
        <w:ind w:right="-284"/>
        <w:mirrorIndents/>
        <w:rPr>
          <w:rFonts w:ascii="Verdana" w:eastAsia="SimSun" w:hAnsi="Verdana" w:cs="Arial"/>
          <w:b/>
          <w:sz w:val="16"/>
          <w:szCs w:val="16"/>
          <w:lang w:eastAsia="es-ES"/>
        </w:rPr>
      </w:pPr>
      <w:r w:rsidRPr="00980731">
        <w:rPr>
          <w:rFonts w:ascii="Verdana" w:eastAsia="SimSun" w:hAnsi="Verdana" w:cs="Arial"/>
          <w:b/>
          <w:sz w:val="16"/>
          <w:szCs w:val="16"/>
          <w:lang w:eastAsia="es-ES"/>
        </w:rPr>
        <w:t xml:space="preserve">     Síguenos en: </w:t>
      </w:r>
    </w:p>
    <w:p w14:paraId="1A9994CC" w14:textId="77777777" w:rsidR="00980731" w:rsidRPr="00980731" w:rsidRDefault="00980731" w:rsidP="00980731">
      <w:pPr>
        <w:spacing w:after="0" w:line="360" w:lineRule="auto"/>
        <w:ind w:right="-284"/>
        <w:mirrorIndents/>
        <w:rPr>
          <w:rFonts w:ascii="Verdana" w:eastAsia="SimSun" w:hAnsi="Verdana" w:cs="Arial"/>
          <w:b/>
          <w:sz w:val="8"/>
          <w:szCs w:val="8"/>
          <w:lang w:eastAsia="es-ES"/>
        </w:rPr>
      </w:pPr>
    </w:p>
    <w:p w14:paraId="1A2A559D" w14:textId="79ADB2D0" w:rsidR="00980731" w:rsidRPr="00980731" w:rsidRDefault="00980731" w:rsidP="00980731">
      <w:pPr>
        <w:spacing w:after="0" w:line="360" w:lineRule="auto"/>
        <w:ind w:right="-284"/>
        <w:mirrorIndents/>
        <w:rPr>
          <w:rFonts w:ascii="Verdana" w:hAnsi="Verdana"/>
          <w:b/>
          <w:sz w:val="16"/>
          <w:szCs w:val="16"/>
        </w:rPr>
      </w:pPr>
      <w:r w:rsidRPr="00980731">
        <w:rPr>
          <w:rFonts w:ascii="Verdana" w:eastAsia="SimSun" w:hAnsi="Verdana" w:cs="Arial"/>
          <w:sz w:val="16"/>
          <w:szCs w:val="16"/>
          <w:lang w:eastAsia="es-ES"/>
        </w:rPr>
        <w:t xml:space="preserve">     </w:t>
      </w:r>
      <w:r w:rsidRPr="00980731">
        <w:rPr>
          <w:rFonts w:ascii="Verdana" w:eastAsia="SimSun" w:hAnsi="Verdana" w:cs="Arial"/>
          <w:noProof/>
          <w:sz w:val="16"/>
          <w:szCs w:val="16"/>
          <w:lang w:eastAsia="es-ES"/>
        </w:rPr>
        <w:drawing>
          <wp:inline distT="0" distB="0" distL="0" distR="0" wp14:anchorId="19739454" wp14:editId="020E0F45">
            <wp:extent cx="255905" cy="248920"/>
            <wp:effectExtent l="0" t="0" r="0" b="0"/>
            <wp:docPr id="17" name="Imagen 17" descr="cid:image36b10b.JPG@66505a2b.4e8e408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36b10b.JPG@66505a2b.4e8e408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5905" cy="248920"/>
                    </a:xfrm>
                    <a:prstGeom prst="rect">
                      <a:avLst/>
                    </a:prstGeom>
                    <a:noFill/>
                    <a:ln>
                      <a:noFill/>
                    </a:ln>
                  </pic:spPr>
                </pic:pic>
              </a:graphicData>
            </a:graphic>
          </wp:inline>
        </w:drawing>
      </w:r>
      <w:r w:rsidRPr="00980731">
        <w:rPr>
          <w:rFonts w:ascii="Verdana" w:eastAsia="SimSun" w:hAnsi="Verdana" w:cs="Arial"/>
          <w:sz w:val="16"/>
          <w:szCs w:val="16"/>
          <w:lang w:eastAsia="es-ES"/>
        </w:rPr>
        <w:t xml:space="preserve">  </w:t>
      </w:r>
      <w:r w:rsidRPr="00980731">
        <w:rPr>
          <w:rFonts w:ascii="Verdana" w:eastAsia="SimSun" w:hAnsi="Verdana" w:cs="Arial"/>
          <w:noProof/>
          <w:sz w:val="16"/>
          <w:szCs w:val="16"/>
          <w:lang w:eastAsia="es-ES"/>
        </w:rPr>
        <w:drawing>
          <wp:inline distT="0" distB="0" distL="0" distR="0" wp14:anchorId="706C78BE" wp14:editId="0C611773">
            <wp:extent cx="258445" cy="246380"/>
            <wp:effectExtent l="0" t="0" r="8255" b="1270"/>
            <wp:docPr id="18" name="Imagen 18" descr="cid:image3b0d8a.JPG@4cc48137.4689fc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3b0d8a.JPG@4cc48137.4689fc80">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980731">
        <w:rPr>
          <w:rFonts w:ascii="Verdana" w:eastAsia="SimSun" w:hAnsi="Verdana" w:cs="Arial"/>
          <w:sz w:val="16"/>
          <w:szCs w:val="16"/>
          <w:lang w:eastAsia="es-ES"/>
        </w:rPr>
        <w:t>  </w:t>
      </w:r>
      <w:r w:rsidRPr="00980731">
        <w:rPr>
          <w:rFonts w:ascii="Verdana" w:eastAsia="SimSun" w:hAnsi="Verdana" w:cs="Arial"/>
          <w:noProof/>
          <w:sz w:val="16"/>
          <w:szCs w:val="16"/>
          <w:lang w:eastAsia="es-ES"/>
        </w:rPr>
        <w:drawing>
          <wp:inline distT="0" distB="0" distL="0" distR="0" wp14:anchorId="03CD5C17" wp14:editId="78529281">
            <wp:extent cx="258445" cy="246380"/>
            <wp:effectExtent l="0" t="0" r="8255" b="1270"/>
            <wp:docPr id="19" name="Imagen 19" descr="cid:image20da2d.JPG@20a37470.43acbc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20da2d.JPG@20a37470.43acbc38">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58445" cy="246380"/>
                    </a:xfrm>
                    <a:prstGeom prst="rect">
                      <a:avLst/>
                    </a:prstGeom>
                    <a:noFill/>
                    <a:ln>
                      <a:noFill/>
                    </a:ln>
                  </pic:spPr>
                </pic:pic>
              </a:graphicData>
            </a:graphic>
          </wp:inline>
        </w:drawing>
      </w:r>
      <w:r w:rsidRPr="00980731">
        <w:rPr>
          <w:rFonts w:ascii="Verdana" w:eastAsia="SimSun" w:hAnsi="Verdana" w:cs="Arial"/>
          <w:sz w:val="16"/>
          <w:szCs w:val="16"/>
          <w:lang w:eastAsia="es-ES"/>
        </w:rPr>
        <w:t>          </w:t>
      </w:r>
      <w:r w:rsidRPr="00980731">
        <w:rPr>
          <w:rFonts w:ascii="Verdana" w:eastAsia="SimSun" w:hAnsi="Verdana" w:cs="Arial"/>
          <w:b/>
          <w:sz w:val="16"/>
          <w:szCs w:val="16"/>
          <w:lang w:eastAsia="es-ES"/>
        </w:rPr>
        <w:t xml:space="preserve">    </w:t>
      </w:r>
    </w:p>
    <w:p w14:paraId="5036D333" w14:textId="77777777" w:rsidR="00980731" w:rsidRPr="00980731" w:rsidRDefault="00980731">
      <w:pPr>
        <w:ind w:right="-284"/>
        <w:mirrorIndents/>
        <w:rPr>
          <w:rFonts w:ascii="Verdana" w:hAnsi="Verdana"/>
          <w:b/>
          <w:sz w:val="16"/>
          <w:szCs w:val="16"/>
        </w:rPr>
      </w:pPr>
    </w:p>
    <w:sectPr w:rsidR="00980731" w:rsidRPr="00980731" w:rsidSect="00980731">
      <w:headerReference w:type="default" r:id="rId19"/>
      <w:pgSz w:w="11906" w:h="16838"/>
      <w:pgMar w:top="1985"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A658" w14:textId="77777777" w:rsidR="006D2D00" w:rsidRDefault="006D2D00" w:rsidP="00183BCB">
      <w:pPr>
        <w:spacing w:after="0" w:line="240" w:lineRule="auto"/>
      </w:pPr>
      <w:r>
        <w:separator/>
      </w:r>
    </w:p>
  </w:endnote>
  <w:endnote w:type="continuationSeparator" w:id="0">
    <w:p w14:paraId="59CCCB12" w14:textId="77777777" w:rsidR="006D2D00" w:rsidRDefault="006D2D00" w:rsidP="0018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NOR Fontana ND">
    <w:altName w:val="Calibri"/>
    <w:charset w:val="00"/>
    <w:family w:val="swiss"/>
    <w:pitch w:val="variable"/>
    <w:sig w:usb0="80000027" w:usb1="0000002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1288" w14:textId="77777777" w:rsidR="006D2D00" w:rsidRDefault="006D2D00" w:rsidP="00183BCB">
      <w:pPr>
        <w:spacing w:after="0" w:line="240" w:lineRule="auto"/>
      </w:pPr>
      <w:r>
        <w:separator/>
      </w:r>
    </w:p>
  </w:footnote>
  <w:footnote w:type="continuationSeparator" w:id="0">
    <w:p w14:paraId="282A16DE" w14:textId="77777777" w:rsidR="006D2D00" w:rsidRDefault="006D2D00" w:rsidP="0018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FD99" w14:textId="22CB35A4" w:rsidR="00183BCB" w:rsidRDefault="00183BCB">
    <w:pPr>
      <w:pStyle w:val="Encabezado"/>
    </w:pPr>
    <w:r>
      <w:rPr>
        <w:noProof/>
      </w:rPr>
      <w:drawing>
        <wp:anchor distT="0" distB="0" distL="114300" distR="114300" simplePos="0" relativeHeight="251659264" behindDoc="1" locked="0" layoutInCell="1" allowOverlap="1" wp14:anchorId="68D5A307" wp14:editId="2AA33FF7">
          <wp:simplePos x="0" y="0"/>
          <wp:positionH relativeFrom="column">
            <wp:posOffset>2024872</wp:posOffset>
          </wp:positionH>
          <wp:positionV relativeFrom="page">
            <wp:posOffset>181035</wp:posOffset>
          </wp:positionV>
          <wp:extent cx="1569720" cy="965835"/>
          <wp:effectExtent l="0" t="0" r="0" b="5715"/>
          <wp:wrapTight wrapText="bothSides">
            <wp:wrapPolygon edited="0">
              <wp:start x="0" y="0"/>
              <wp:lineTo x="0" y="21302"/>
              <wp:lineTo x="21233" y="21302"/>
              <wp:lineTo x="2123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868"/>
                  <a:stretch/>
                </pic:blipFill>
                <pic:spPr bwMode="auto">
                  <a:xfrm>
                    <a:off x="0" y="0"/>
                    <a:ext cx="1569720" cy="965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125"/>
    <w:multiLevelType w:val="hybridMultilevel"/>
    <w:tmpl w:val="933E1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0B3122"/>
    <w:multiLevelType w:val="hybridMultilevel"/>
    <w:tmpl w:val="2C32E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1A0EEB"/>
    <w:multiLevelType w:val="hybridMultilevel"/>
    <w:tmpl w:val="DBF4A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E7"/>
    <w:rsid w:val="000941CD"/>
    <w:rsid w:val="000A0634"/>
    <w:rsid w:val="00183BCB"/>
    <w:rsid w:val="0023044F"/>
    <w:rsid w:val="00293DE7"/>
    <w:rsid w:val="002A104F"/>
    <w:rsid w:val="002C3AE4"/>
    <w:rsid w:val="003F0824"/>
    <w:rsid w:val="004F1493"/>
    <w:rsid w:val="006D2D00"/>
    <w:rsid w:val="00980731"/>
    <w:rsid w:val="00995B46"/>
    <w:rsid w:val="00A6657B"/>
    <w:rsid w:val="00C44B95"/>
    <w:rsid w:val="00D525F9"/>
    <w:rsid w:val="00E81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A545"/>
  <w15:chartTrackingRefBased/>
  <w15:docId w15:val="{87AC03B8-671E-4678-B8DB-0045B020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44F"/>
    <w:pPr>
      <w:ind w:left="720"/>
      <w:contextualSpacing/>
    </w:pPr>
  </w:style>
  <w:style w:type="paragraph" w:styleId="Encabezado">
    <w:name w:val="header"/>
    <w:basedOn w:val="Normal"/>
    <w:link w:val="EncabezadoCar"/>
    <w:uiPriority w:val="99"/>
    <w:unhideWhenUsed/>
    <w:rsid w:val="00183B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BCB"/>
  </w:style>
  <w:style w:type="paragraph" w:styleId="Piedepgina">
    <w:name w:val="footer"/>
    <w:basedOn w:val="Normal"/>
    <w:link w:val="PiedepginaCar"/>
    <w:uiPriority w:val="99"/>
    <w:unhideWhenUsed/>
    <w:rsid w:val="00183B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BCB"/>
  </w:style>
  <w:style w:type="paragraph" w:styleId="Fecha">
    <w:name w:val="Date"/>
    <w:basedOn w:val="Normal"/>
    <w:next w:val="Normal"/>
    <w:link w:val="FechaCar"/>
    <w:rsid w:val="00183BCB"/>
    <w:pPr>
      <w:tabs>
        <w:tab w:val="right" w:pos="8504"/>
      </w:tabs>
      <w:spacing w:after="240" w:line="240" w:lineRule="auto"/>
      <w:jc w:val="both"/>
    </w:pPr>
    <w:rPr>
      <w:rFonts w:ascii="AENOR Fontana ND" w:eastAsia="Times New Roman" w:hAnsi="AENOR Fontana ND" w:cs="Times New Roman"/>
      <w:sz w:val="24"/>
      <w:szCs w:val="24"/>
      <w:lang w:val="x-none" w:eastAsia="x-none"/>
    </w:rPr>
  </w:style>
  <w:style w:type="character" w:customStyle="1" w:styleId="FechaCar">
    <w:name w:val="Fecha Car"/>
    <w:basedOn w:val="Fuentedeprrafopredeter"/>
    <w:link w:val="Fecha"/>
    <w:rsid w:val="00183BCB"/>
    <w:rPr>
      <w:rFonts w:ascii="AENOR Fontana ND" w:eastAsia="Times New Roman" w:hAnsi="AENOR Fontana ND" w:cs="Times New Roman"/>
      <w:sz w:val="24"/>
      <w:szCs w:val="24"/>
      <w:lang w:val="x-none" w:eastAsia="x-none"/>
    </w:rPr>
  </w:style>
  <w:style w:type="character" w:styleId="Hipervnculo">
    <w:name w:val="Hyperlink"/>
    <w:basedOn w:val="Fuentedeprrafopredeter"/>
    <w:uiPriority w:val="99"/>
    <w:unhideWhenUsed/>
    <w:rsid w:val="00183BCB"/>
    <w:rPr>
      <w:color w:val="0563C1" w:themeColor="hyperlink"/>
      <w:u w:val="single"/>
    </w:rPr>
  </w:style>
  <w:style w:type="character" w:styleId="Mencinsinresolver">
    <w:name w:val="Unresolved Mention"/>
    <w:basedOn w:val="Fuentedeprrafopredeter"/>
    <w:uiPriority w:val="99"/>
    <w:semiHidden/>
    <w:unhideWhenUsed/>
    <w:rsid w:val="00980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uerrero@une.org" TargetMode="External"/><Relationship Id="rId13" Type="http://schemas.openxmlformats.org/officeDocument/2006/relationships/hyperlink" Target="https://twitter.com/NormasUNE" TargetMode="External"/><Relationship Id="rId18" Type="http://schemas.openxmlformats.org/officeDocument/2006/relationships/image" Target="cid:image20da2d.JPG@20a37470.43acbc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e.org/" TargetMode="External"/><Relationship Id="rId12" Type="http://schemas.openxmlformats.org/officeDocument/2006/relationships/image" Target="cid:image002.jpg@01D27BBE.0C8B8AC0"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youtube.com/channel/UCl1cbwOPrFUxcq4yf61jIz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cid:image3b0d8a.JPG@4cc48137.4689fc80" TargetMode="External"/><Relationship Id="rId10" Type="http://schemas.openxmlformats.org/officeDocument/2006/relationships/hyperlink" Target="https://www.linkedin.com/company/une-asociaci&#243;n-espa&#241;ola-de-normalizaci&#243;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org"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628</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 Diaz</dc:creator>
  <cp:keywords/>
  <dc:description/>
  <cp:lastModifiedBy>Gustavo Granero Benitez</cp:lastModifiedBy>
  <cp:revision>10</cp:revision>
  <dcterms:created xsi:type="dcterms:W3CDTF">2021-07-18T04:23:00Z</dcterms:created>
  <dcterms:modified xsi:type="dcterms:W3CDTF">2021-07-20T06:10:00Z</dcterms:modified>
</cp:coreProperties>
</file>