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67C51" w14:textId="48B1C5FE" w:rsidR="00BA798C" w:rsidRPr="00BA1B83" w:rsidRDefault="00BB16D4" w:rsidP="0046374E">
      <w:pPr>
        <w:jc w:val="both"/>
        <w:rPr>
          <w:rFonts w:ascii="Verdana" w:hAnsi="Verdana"/>
          <w:b/>
          <w:sz w:val="28"/>
          <w:szCs w:val="27"/>
        </w:rPr>
      </w:pPr>
      <w:bookmarkStart w:id="0" w:name="_Hlk136932172"/>
      <w:bookmarkStart w:id="1" w:name="_Hlk132360382"/>
      <w:r w:rsidRPr="00BB16D4">
        <w:rPr>
          <w:rFonts w:ascii="Verdana" w:hAnsi="Verdana"/>
          <w:b/>
          <w:sz w:val="28"/>
          <w:szCs w:val="27"/>
        </w:rPr>
        <w:t>Las grandes empresas pagan tres veces peor que las microempresas en España</w:t>
      </w:r>
      <w:r w:rsidR="00090C76">
        <w:rPr>
          <w:rFonts w:ascii="Verdana" w:hAnsi="Verdana"/>
          <w:b/>
          <w:sz w:val="28"/>
          <w:szCs w:val="27"/>
        </w:rPr>
        <w:t xml:space="preserve"> </w:t>
      </w:r>
    </w:p>
    <w:p w14:paraId="0784B334" w14:textId="77777777" w:rsidR="00CC6E58" w:rsidRDefault="00CC6E58" w:rsidP="00726A1C">
      <w:pPr>
        <w:jc w:val="both"/>
        <w:rPr>
          <w:rFonts w:ascii="Verdana" w:hAnsi="Verdana"/>
          <w:b/>
          <w:sz w:val="28"/>
          <w:szCs w:val="27"/>
        </w:rPr>
      </w:pPr>
    </w:p>
    <w:p w14:paraId="3C4BFB4B" w14:textId="0C5DC888" w:rsidR="00991117" w:rsidRPr="0075218F" w:rsidRDefault="00903E3D" w:rsidP="00991117">
      <w:pPr>
        <w:pStyle w:val="Prrafodelista"/>
        <w:numPr>
          <w:ilvl w:val="0"/>
          <w:numId w:val="1"/>
        </w:numPr>
        <w:spacing w:after="120"/>
        <w:jc w:val="both"/>
        <w:rPr>
          <w:rFonts w:ascii="Verdana" w:hAnsi="Verdana"/>
          <w:b/>
          <w:sz w:val="16"/>
          <w:szCs w:val="16"/>
        </w:rPr>
      </w:pPr>
      <w:r w:rsidRPr="00903E3D">
        <w:rPr>
          <w:rFonts w:ascii="Verdana" w:hAnsi="Verdana"/>
          <w:b/>
          <w:sz w:val="16"/>
          <w:szCs w:val="16"/>
        </w:rPr>
        <w:t>Solo el 14% de las grandes empresas paga sus facturas en plazo, frente al 51% de las microempresas, según el Observatorio de Pagos de la UE.</w:t>
      </w:r>
    </w:p>
    <w:p w14:paraId="49F450E0" w14:textId="77777777" w:rsidR="00991117" w:rsidRPr="001C50B0" w:rsidRDefault="00991117" w:rsidP="00991117">
      <w:pPr>
        <w:pStyle w:val="Prrafodelista"/>
        <w:spacing w:after="120"/>
        <w:jc w:val="both"/>
        <w:rPr>
          <w:rFonts w:ascii="Verdana" w:hAnsi="Verdana"/>
          <w:b/>
          <w:sz w:val="16"/>
          <w:szCs w:val="16"/>
        </w:rPr>
      </w:pPr>
    </w:p>
    <w:p w14:paraId="3CCF790B" w14:textId="69D29861" w:rsidR="00991117" w:rsidRPr="001C50B0" w:rsidRDefault="00903E3D" w:rsidP="00991117">
      <w:pPr>
        <w:pStyle w:val="Prrafodelista"/>
        <w:numPr>
          <w:ilvl w:val="0"/>
          <w:numId w:val="1"/>
        </w:numPr>
        <w:spacing w:after="120"/>
        <w:jc w:val="both"/>
        <w:rPr>
          <w:rFonts w:ascii="Verdana" w:hAnsi="Verdana"/>
          <w:b/>
          <w:sz w:val="16"/>
          <w:szCs w:val="16"/>
        </w:rPr>
      </w:pPr>
      <w:r w:rsidRPr="00903E3D">
        <w:rPr>
          <w:rFonts w:ascii="Verdana" w:hAnsi="Verdana"/>
          <w:b/>
          <w:sz w:val="16"/>
          <w:szCs w:val="16"/>
        </w:rPr>
        <w:t>La morosidad genera un efecto dominó: el 31% de las empresas reconoce retrasar sus propios pagos porque cobra tarde.</w:t>
      </w:r>
    </w:p>
    <w:p w14:paraId="7E636266" w14:textId="77777777" w:rsidR="00991117" w:rsidRPr="001C50B0" w:rsidRDefault="00991117" w:rsidP="00991117">
      <w:pPr>
        <w:pStyle w:val="Prrafodelista"/>
        <w:rPr>
          <w:rFonts w:ascii="Verdana" w:hAnsi="Verdana"/>
          <w:b/>
          <w:sz w:val="16"/>
          <w:szCs w:val="16"/>
        </w:rPr>
      </w:pPr>
      <w:r w:rsidRPr="001C50B0">
        <w:rPr>
          <w:rFonts w:ascii="Verdana" w:hAnsi="Verdana"/>
          <w:b/>
          <w:sz w:val="16"/>
          <w:szCs w:val="16"/>
        </w:rPr>
        <w:t xml:space="preserve">  </w:t>
      </w:r>
    </w:p>
    <w:p w14:paraId="74D6089A" w14:textId="034DBA7E" w:rsidR="00903E3D" w:rsidRPr="00903E3D" w:rsidRDefault="00903E3D" w:rsidP="00903E3D">
      <w:pPr>
        <w:pStyle w:val="Prrafodelista"/>
        <w:numPr>
          <w:ilvl w:val="0"/>
          <w:numId w:val="1"/>
        </w:numPr>
        <w:spacing w:after="120"/>
        <w:jc w:val="both"/>
        <w:rPr>
          <w:rFonts w:ascii="Verdana" w:hAnsi="Verdana"/>
          <w:b/>
          <w:sz w:val="16"/>
          <w:szCs w:val="16"/>
        </w:rPr>
      </w:pPr>
      <w:r w:rsidRPr="00903E3D">
        <w:rPr>
          <w:rFonts w:ascii="Verdana" w:hAnsi="Verdana"/>
          <w:b/>
          <w:sz w:val="16"/>
          <w:szCs w:val="16"/>
        </w:rPr>
        <w:t>La PMcM reclama a Europa un reglamento eficaz con supervisión y sanciones para acabar con la cultura del pago tardío.</w:t>
      </w:r>
    </w:p>
    <w:p w14:paraId="747B0606" w14:textId="77777777" w:rsidR="00BC7756" w:rsidRPr="00AD5ED6" w:rsidRDefault="00BC7756" w:rsidP="00BC7756">
      <w:pPr>
        <w:pStyle w:val="Prrafodelista"/>
        <w:rPr>
          <w:rFonts w:ascii="Verdana" w:hAnsi="Verdana"/>
          <w:b/>
          <w:color w:val="FF0000"/>
          <w:sz w:val="16"/>
          <w:szCs w:val="16"/>
        </w:rPr>
      </w:pPr>
    </w:p>
    <w:p w14:paraId="35BACEC7" w14:textId="1DE21C7A" w:rsidR="00991117" w:rsidRPr="00991117" w:rsidRDefault="00726A1C" w:rsidP="00623F14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C81309">
        <w:rPr>
          <w:rFonts w:ascii="Verdana" w:hAnsi="Verdana"/>
          <w:b/>
          <w:bCs/>
          <w:sz w:val="20"/>
          <w:szCs w:val="20"/>
        </w:rPr>
        <w:t xml:space="preserve">Madrid, </w:t>
      </w:r>
      <w:r w:rsidR="00C81309" w:rsidRPr="00C81309">
        <w:rPr>
          <w:rFonts w:ascii="Verdana" w:hAnsi="Verdana"/>
          <w:b/>
          <w:bCs/>
          <w:sz w:val="20"/>
          <w:szCs w:val="20"/>
        </w:rPr>
        <w:t>12</w:t>
      </w:r>
      <w:r w:rsidR="00467AB4" w:rsidRPr="00C81309">
        <w:rPr>
          <w:rFonts w:ascii="Verdana" w:hAnsi="Verdana"/>
          <w:b/>
          <w:bCs/>
          <w:sz w:val="20"/>
          <w:szCs w:val="20"/>
        </w:rPr>
        <w:t xml:space="preserve"> </w:t>
      </w:r>
      <w:r w:rsidRPr="00C81309">
        <w:rPr>
          <w:rFonts w:ascii="Verdana" w:hAnsi="Verdana"/>
          <w:b/>
          <w:bCs/>
          <w:sz w:val="20"/>
          <w:szCs w:val="20"/>
        </w:rPr>
        <w:t xml:space="preserve">de </w:t>
      </w:r>
      <w:r w:rsidR="00467AB4" w:rsidRPr="00C81309">
        <w:rPr>
          <w:rFonts w:ascii="Verdana" w:hAnsi="Verdana"/>
          <w:b/>
          <w:bCs/>
          <w:sz w:val="20"/>
          <w:szCs w:val="20"/>
        </w:rPr>
        <w:t>marzo</w:t>
      </w:r>
      <w:r w:rsidRPr="00C81309">
        <w:rPr>
          <w:rFonts w:ascii="Verdana" w:hAnsi="Verdana"/>
          <w:b/>
          <w:bCs/>
          <w:sz w:val="20"/>
          <w:szCs w:val="20"/>
        </w:rPr>
        <w:t xml:space="preserve"> de 202</w:t>
      </w:r>
      <w:r w:rsidR="000779A6" w:rsidRPr="00C81309">
        <w:rPr>
          <w:rFonts w:ascii="Verdana" w:hAnsi="Verdana"/>
          <w:b/>
          <w:bCs/>
          <w:sz w:val="20"/>
          <w:szCs w:val="20"/>
        </w:rPr>
        <w:t>6</w:t>
      </w:r>
      <w:r w:rsidRPr="00C81309">
        <w:rPr>
          <w:rFonts w:ascii="Verdana" w:hAnsi="Verdana"/>
          <w:b/>
          <w:bCs/>
          <w:sz w:val="20"/>
          <w:szCs w:val="20"/>
        </w:rPr>
        <w:t>.-</w:t>
      </w:r>
      <w:r w:rsidR="00FB6039" w:rsidRPr="00C81309">
        <w:rPr>
          <w:rFonts w:ascii="Verdana" w:hAnsi="Verdana"/>
          <w:b/>
          <w:bCs/>
          <w:sz w:val="20"/>
          <w:szCs w:val="20"/>
        </w:rPr>
        <w:t xml:space="preserve"> </w:t>
      </w:r>
      <w:r w:rsidR="00991117" w:rsidRPr="00C81309">
        <w:rPr>
          <w:rFonts w:ascii="Verdana" w:hAnsi="Verdana"/>
          <w:sz w:val="20"/>
          <w:szCs w:val="20"/>
        </w:rPr>
        <w:t xml:space="preserve">La </w:t>
      </w:r>
      <w:r w:rsidR="00991117" w:rsidRPr="00C81309">
        <w:rPr>
          <w:rFonts w:ascii="Verdana" w:hAnsi="Verdana"/>
          <w:b/>
          <w:bCs/>
          <w:sz w:val="20"/>
          <w:szCs w:val="20"/>
        </w:rPr>
        <w:t>Plataforma Multisectorial contra la Morosidad (PMcM)</w:t>
      </w:r>
      <w:r w:rsidR="00991117" w:rsidRPr="00C81309">
        <w:rPr>
          <w:rFonts w:ascii="Verdana" w:hAnsi="Verdana"/>
          <w:sz w:val="20"/>
          <w:szCs w:val="20"/>
        </w:rPr>
        <w:t xml:space="preserve"> denuncia</w:t>
      </w:r>
      <w:r w:rsidR="00991117" w:rsidRPr="00991117">
        <w:rPr>
          <w:rFonts w:ascii="Verdana" w:hAnsi="Verdana"/>
          <w:sz w:val="20"/>
          <w:szCs w:val="20"/>
        </w:rPr>
        <w:t xml:space="preserve"> que las grandes empresas en España son </w:t>
      </w:r>
      <w:r w:rsidR="00991117" w:rsidRPr="00991117">
        <w:rPr>
          <w:rFonts w:ascii="Verdana" w:hAnsi="Verdana"/>
          <w:b/>
          <w:bCs/>
          <w:sz w:val="20"/>
          <w:szCs w:val="20"/>
        </w:rPr>
        <w:t>tres veces peor pagadoras que las microempresas</w:t>
      </w:r>
      <w:r w:rsidR="00991117" w:rsidRPr="00991117">
        <w:rPr>
          <w:rFonts w:ascii="Verdana" w:hAnsi="Verdana"/>
          <w:sz w:val="20"/>
          <w:szCs w:val="20"/>
        </w:rPr>
        <w:t>, una brecha que refleja el fuerte desequilibrio en las relaciones comerciales dentro del tejido empresarial.</w:t>
      </w:r>
    </w:p>
    <w:p w14:paraId="5A9B6CED" w14:textId="6ED45E92" w:rsidR="00991117" w:rsidRPr="00991117" w:rsidRDefault="00991117" w:rsidP="00623F14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991117">
        <w:rPr>
          <w:rFonts w:ascii="Verdana" w:hAnsi="Verdana"/>
          <w:sz w:val="20"/>
          <w:szCs w:val="20"/>
        </w:rPr>
        <w:t xml:space="preserve">Según el </w:t>
      </w:r>
      <w:hyperlink r:id="rId10" w:history="1">
        <w:r w:rsidRPr="0038264F">
          <w:rPr>
            <w:rStyle w:val="Hipervnculo"/>
            <w:rFonts w:ascii="Verdana" w:hAnsi="Verdana"/>
            <w:b/>
            <w:bCs/>
            <w:sz w:val="20"/>
            <w:szCs w:val="20"/>
          </w:rPr>
          <w:t>Informe Anual 2025 del Observatorio de Pagos de la Unión Europea</w:t>
        </w:r>
      </w:hyperlink>
      <w:r w:rsidRPr="00991117">
        <w:rPr>
          <w:rFonts w:ascii="Verdana" w:hAnsi="Verdana"/>
          <w:sz w:val="20"/>
          <w:szCs w:val="20"/>
        </w:rPr>
        <w:t xml:space="preserve">, solo el </w:t>
      </w:r>
      <w:r w:rsidRPr="00991117">
        <w:rPr>
          <w:rFonts w:ascii="Verdana" w:hAnsi="Verdana"/>
          <w:b/>
          <w:bCs/>
          <w:sz w:val="20"/>
          <w:szCs w:val="20"/>
        </w:rPr>
        <w:t>14% de las grandes empresas liquida sus facturas en la fecha de vencimiento</w:t>
      </w:r>
      <w:r w:rsidRPr="00991117">
        <w:rPr>
          <w:rFonts w:ascii="Verdana" w:hAnsi="Verdana"/>
          <w:sz w:val="20"/>
          <w:szCs w:val="20"/>
        </w:rPr>
        <w:t xml:space="preserve">, frente al </w:t>
      </w:r>
      <w:r w:rsidRPr="00991117">
        <w:rPr>
          <w:rFonts w:ascii="Verdana" w:hAnsi="Verdana"/>
          <w:b/>
          <w:bCs/>
          <w:sz w:val="20"/>
          <w:szCs w:val="20"/>
        </w:rPr>
        <w:t>51% de las microempresas</w:t>
      </w:r>
      <w:r w:rsidRPr="00991117">
        <w:rPr>
          <w:rFonts w:ascii="Verdana" w:hAnsi="Verdana"/>
          <w:sz w:val="20"/>
          <w:szCs w:val="20"/>
        </w:rPr>
        <w:t xml:space="preserve">. El informe sitúa a España entre los países con </w:t>
      </w:r>
      <w:r w:rsidRPr="00991117">
        <w:rPr>
          <w:rFonts w:ascii="Verdana" w:hAnsi="Verdana"/>
          <w:b/>
          <w:bCs/>
          <w:sz w:val="20"/>
          <w:szCs w:val="20"/>
        </w:rPr>
        <w:t>mayor diferencia de comportamiento en los pagos según el tamaño de empresa</w:t>
      </w:r>
      <w:r w:rsidRPr="00991117">
        <w:rPr>
          <w:rFonts w:ascii="Verdana" w:hAnsi="Verdana"/>
          <w:sz w:val="20"/>
          <w:szCs w:val="20"/>
        </w:rPr>
        <w:t>.</w:t>
      </w:r>
    </w:p>
    <w:p w14:paraId="20F88C21" w14:textId="3BDDD17B" w:rsidR="00A42298" w:rsidRPr="00421FFC" w:rsidRDefault="00A42298" w:rsidP="00A42298">
      <w:pPr>
        <w:spacing w:before="100" w:beforeAutospacing="1" w:after="100" w:afterAutospacing="1"/>
        <w:jc w:val="both"/>
        <w:rPr>
          <w:rFonts w:ascii="Verdana" w:hAnsi="Verdana"/>
          <w:b/>
          <w:bCs/>
          <w:sz w:val="20"/>
          <w:szCs w:val="20"/>
        </w:rPr>
      </w:pPr>
      <w:r w:rsidRPr="0091549F">
        <w:rPr>
          <w:rFonts w:ascii="Verdana" w:hAnsi="Verdana"/>
          <w:b/>
          <w:bCs/>
          <w:sz w:val="20"/>
          <w:szCs w:val="20"/>
        </w:rPr>
        <w:t xml:space="preserve">"Pagar tarde se ha institucionalizado; para algunas empresas es una forma encubierta de financiarse a costa de sus proveedores”, </w:t>
      </w:r>
      <w:r w:rsidRPr="00A42298">
        <w:rPr>
          <w:rFonts w:ascii="Verdana" w:hAnsi="Verdana"/>
          <w:sz w:val="20"/>
          <w:szCs w:val="20"/>
        </w:rPr>
        <w:t xml:space="preserve">denuncia </w:t>
      </w:r>
      <w:r w:rsidRPr="0091549F">
        <w:rPr>
          <w:rFonts w:ascii="Verdana" w:hAnsi="Verdana"/>
          <w:b/>
          <w:bCs/>
          <w:sz w:val="20"/>
          <w:szCs w:val="20"/>
        </w:rPr>
        <w:t>Antoni Cañete,</w:t>
      </w:r>
      <w:r w:rsidRPr="00A42298">
        <w:rPr>
          <w:rFonts w:ascii="Verdana" w:hAnsi="Verdana"/>
          <w:sz w:val="20"/>
          <w:szCs w:val="20"/>
        </w:rPr>
        <w:t xml:space="preserve"> presidente de la PMcM, haciendo suyas las palabras que expresó el </w:t>
      </w:r>
      <w:r w:rsidRPr="0091549F">
        <w:rPr>
          <w:rFonts w:ascii="Verdana" w:hAnsi="Verdana"/>
          <w:b/>
          <w:bCs/>
          <w:sz w:val="20"/>
          <w:szCs w:val="20"/>
        </w:rPr>
        <w:t>gobernador del Banco de España, José Luis Escrivá,</w:t>
      </w:r>
      <w:r w:rsidRPr="00A42298">
        <w:rPr>
          <w:rFonts w:ascii="Verdana" w:hAnsi="Verdana"/>
          <w:sz w:val="20"/>
          <w:szCs w:val="20"/>
        </w:rPr>
        <w:t xml:space="preserve"> en su visita y presentación de la morosidad en Barcelona. En un país donde el 99,8% del tejido empresarial está formado</w:t>
      </w:r>
      <w:r>
        <w:rPr>
          <w:rFonts w:ascii="Verdana" w:hAnsi="Verdana"/>
          <w:sz w:val="20"/>
          <w:szCs w:val="20"/>
        </w:rPr>
        <w:t xml:space="preserve"> </w:t>
      </w:r>
      <w:r w:rsidRPr="00A42298">
        <w:rPr>
          <w:rFonts w:ascii="Verdana" w:hAnsi="Verdana"/>
          <w:sz w:val="20"/>
          <w:szCs w:val="20"/>
        </w:rPr>
        <w:t xml:space="preserve">por pymes, esta práctica supone </w:t>
      </w:r>
      <w:r w:rsidRPr="00421FFC">
        <w:rPr>
          <w:rFonts w:ascii="Verdana" w:hAnsi="Verdana"/>
          <w:b/>
          <w:bCs/>
          <w:sz w:val="20"/>
          <w:szCs w:val="20"/>
        </w:rPr>
        <w:t>“una amenaza sistémica para su supervivencia”,</w:t>
      </w:r>
      <w:r w:rsidRPr="00A42298">
        <w:rPr>
          <w:rFonts w:ascii="Verdana" w:hAnsi="Verdana"/>
          <w:sz w:val="20"/>
          <w:szCs w:val="20"/>
        </w:rPr>
        <w:t xml:space="preserve"> añadió Cañete. Para la </w:t>
      </w:r>
      <w:r w:rsidR="00CE0022">
        <w:rPr>
          <w:rFonts w:ascii="Verdana" w:hAnsi="Verdana"/>
          <w:sz w:val="20"/>
          <w:szCs w:val="20"/>
        </w:rPr>
        <w:t>plataforma</w:t>
      </w:r>
      <w:r w:rsidRPr="00A42298">
        <w:rPr>
          <w:rFonts w:ascii="Verdana" w:hAnsi="Verdana"/>
          <w:sz w:val="20"/>
          <w:szCs w:val="20"/>
        </w:rPr>
        <w:t xml:space="preserve">, los retrasos en los pagos afectan directamente a la </w:t>
      </w:r>
      <w:r w:rsidRPr="00421FFC">
        <w:rPr>
          <w:rFonts w:ascii="Verdana" w:hAnsi="Verdana"/>
          <w:b/>
          <w:bCs/>
          <w:sz w:val="20"/>
          <w:szCs w:val="20"/>
        </w:rPr>
        <w:t>liquidez de pymes y microempresas, limitan su capacidad de inversión y aumentan su vulnerabilidad ante cualquier crisis económica.</w:t>
      </w:r>
    </w:p>
    <w:p w14:paraId="35E2CFDA" w14:textId="2C44E670" w:rsidR="003F4697" w:rsidRPr="003F4697" w:rsidRDefault="007C1C6F" w:rsidP="00623F14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5763BB">
        <w:rPr>
          <w:rFonts w:ascii="Verdana" w:hAnsi="Verdana"/>
          <w:sz w:val="20"/>
          <w:szCs w:val="20"/>
        </w:rPr>
        <w:t>Además, l</w:t>
      </w:r>
      <w:r w:rsidR="003F4697" w:rsidRPr="003F4697">
        <w:rPr>
          <w:rFonts w:ascii="Verdana" w:hAnsi="Verdana"/>
          <w:sz w:val="20"/>
          <w:szCs w:val="20"/>
        </w:rPr>
        <w:t xml:space="preserve">a morosidad no solo perjudica a quien la sufre directamente. También genera un </w:t>
      </w:r>
      <w:r w:rsidR="003F4697" w:rsidRPr="003F4697">
        <w:rPr>
          <w:rFonts w:ascii="Verdana" w:hAnsi="Verdana"/>
          <w:b/>
          <w:bCs/>
          <w:sz w:val="20"/>
          <w:szCs w:val="20"/>
        </w:rPr>
        <w:t>efecto cascada en la economía</w:t>
      </w:r>
      <w:r w:rsidR="003F4697" w:rsidRPr="003F4697">
        <w:rPr>
          <w:rFonts w:ascii="Verdana" w:hAnsi="Verdana"/>
          <w:sz w:val="20"/>
          <w:szCs w:val="20"/>
        </w:rPr>
        <w:t xml:space="preserve">. Según el Observatorio Europeo, </w:t>
      </w:r>
      <w:r w:rsidR="003F4697" w:rsidRPr="003F4697">
        <w:rPr>
          <w:rFonts w:ascii="Verdana" w:hAnsi="Verdana"/>
          <w:b/>
          <w:bCs/>
          <w:sz w:val="20"/>
          <w:szCs w:val="20"/>
        </w:rPr>
        <w:t xml:space="preserve">el 31% de las empresas </w:t>
      </w:r>
      <w:r w:rsidR="00A6351D">
        <w:rPr>
          <w:rFonts w:ascii="Verdana" w:hAnsi="Verdana"/>
          <w:b/>
          <w:bCs/>
          <w:sz w:val="20"/>
          <w:szCs w:val="20"/>
        </w:rPr>
        <w:t xml:space="preserve">europeas </w:t>
      </w:r>
      <w:r w:rsidR="003F4697" w:rsidRPr="003F4697">
        <w:rPr>
          <w:rFonts w:ascii="Verdana" w:hAnsi="Verdana"/>
          <w:b/>
          <w:bCs/>
          <w:sz w:val="20"/>
          <w:szCs w:val="20"/>
        </w:rPr>
        <w:t>reconoce haber retrasado sus propios pagos porque a ellas mismas les pagan tarde</w:t>
      </w:r>
      <w:r w:rsidR="003F4697" w:rsidRPr="003F4697">
        <w:rPr>
          <w:rFonts w:ascii="Verdana" w:hAnsi="Verdana"/>
          <w:sz w:val="20"/>
          <w:szCs w:val="20"/>
        </w:rPr>
        <w:t>.</w:t>
      </w:r>
      <w:r w:rsidR="005763BB">
        <w:rPr>
          <w:rFonts w:ascii="Verdana" w:hAnsi="Verdana"/>
          <w:sz w:val="20"/>
          <w:szCs w:val="20"/>
        </w:rPr>
        <w:t xml:space="preserve"> </w:t>
      </w:r>
      <w:r w:rsidR="003F4697" w:rsidRPr="003F4697">
        <w:rPr>
          <w:rFonts w:ascii="Verdana" w:hAnsi="Verdana"/>
          <w:sz w:val="20"/>
          <w:szCs w:val="20"/>
        </w:rPr>
        <w:t>Este fenómeno revela hasta qué punto la cultura del pago tardío se ha extendido en Europa y especialmente en los países con mayores desequilibrios en la cadena de pagos</w:t>
      </w:r>
      <w:r w:rsidR="00D57202">
        <w:rPr>
          <w:rFonts w:ascii="Verdana" w:hAnsi="Verdana"/>
          <w:sz w:val="20"/>
          <w:szCs w:val="20"/>
        </w:rPr>
        <w:t>, como es el caso de España</w:t>
      </w:r>
      <w:r w:rsidR="003F4697" w:rsidRPr="003F4697">
        <w:rPr>
          <w:rFonts w:ascii="Verdana" w:hAnsi="Verdana"/>
          <w:sz w:val="20"/>
          <w:szCs w:val="20"/>
        </w:rPr>
        <w:t>.</w:t>
      </w:r>
    </w:p>
    <w:p w14:paraId="147A40E7" w14:textId="7ABD124F" w:rsidR="007C1C6F" w:rsidRPr="005763BB" w:rsidRDefault="007C1C6F" w:rsidP="00623F14">
      <w:pPr>
        <w:spacing w:before="100" w:beforeAutospacing="1" w:after="100" w:afterAutospacing="1"/>
        <w:jc w:val="both"/>
        <w:rPr>
          <w:rFonts w:ascii="Verdana" w:hAnsi="Verdana"/>
          <w:b/>
          <w:bCs/>
          <w:sz w:val="20"/>
          <w:szCs w:val="20"/>
        </w:rPr>
      </w:pPr>
      <w:r w:rsidRPr="005763BB">
        <w:rPr>
          <w:rFonts w:ascii="Verdana" w:hAnsi="Verdana"/>
          <w:b/>
          <w:bCs/>
          <w:sz w:val="20"/>
          <w:szCs w:val="20"/>
        </w:rPr>
        <w:t>Un marco legal insuficiente</w:t>
      </w:r>
      <w:r w:rsidR="00A4033E">
        <w:rPr>
          <w:rFonts w:ascii="Verdana" w:hAnsi="Verdana"/>
          <w:b/>
          <w:bCs/>
          <w:sz w:val="20"/>
          <w:szCs w:val="20"/>
        </w:rPr>
        <w:t xml:space="preserve">   </w:t>
      </w:r>
    </w:p>
    <w:p w14:paraId="29F7DDA0" w14:textId="283B87A6" w:rsidR="003F4697" w:rsidRPr="003F4697" w:rsidRDefault="003F4697" w:rsidP="00623F14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F4697">
        <w:rPr>
          <w:rFonts w:ascii="Verdana" w:hAnsi="Verdana"/>
          <w:sz w:val="20"/>
          <w:szCs w:val="20"/>
        </w:rPr>
        <w:t xml:space="preserve">La PMcM considera que la actual </w:t>
      </w:r>
      <w:r w:rsidRPr="003F4697">
        <w:rPr>
          <w:rFonts w:ascii="Verdana" w:hAnsi="Verdana"/>
          <w:b/>
          <w:bCs/>
          <w:sz w:val="20"/>
          <w:szCs w:val="20"/>
        </w:rPr>
        <w:t>Directiva 2011/7/UE</w:t>
      </w:r>
      <w:r w:rsidRPr="003F4697">
        <w:rPr>
          <w:rFonts w:ascii="Verdana" w:hAnsi="Verdana"/>
          <w:sz w:val="20"/>
          <w:szCs w:val="20"/>
        </w:rPr>
        <w:t xml:space="preserve">, que establece los plazos máximos de pago, </w:t>
      </w:r>
      <w:r w:rsidRPr="003F4697">
        <w:rPr>
          <w:rFonts w:ascii="Verdana" w:hAnsi="Verdana"/>
          <w:b/>
          <w:bCs/>
          <w:sz w:val="20"/>
          <w:szCs w:val="20"/>
        </w:rPr>
        <w:t>no ha sido eficaz</w:t>
      </w:r>
      <w:r w:rsidRPr="003F4697">
        <w:rPr>
          <w:rFonts w:ascii="Verdana" w:hAnsi="Verdana"/>
          <w:sz w:val="20"/>
          <w:szCs w:val="20"/>
        </w:rPr>
        <w:t xml:space="preserve"> para combatir la morosidad, al carecer de </w:t>
      </w:r>
      <w:r w:rsidRPr="003F4697">
        <w:rPr>
          <w:rFonts w:ascii="Verdana" w:hAnsi="Verdana"/>
          <w:b/>
          <w:bCs/>
          <w:sz w:val="20"/>
          <w:szCs w:val="20"/>
        </w:rPr>
        <w:t>mecanismos de supervisión y sanción efectivos</w:t>
      </w:r>
      <w:r w:rsidRPr="003F4697">
        <w:rPr>
          <w:rFonts w:ascii="Verdana" w:hAnsi="Verdana"/>
          <w:sz w:val="20"/>
          <w:szCs w:val="20"/>
        </w:rPr>
        <w:t>.</w:t>
      </w:r>
      <w:r w:rsidR="005763BB">
        <w:rPr>
          <w:rFonts w:ascii="Verdana" w:hAnsi="Verdana"/>
          <w:sz w:val="20"/>
          <w:szCs w:val="20"/>
        </w:rPr>
        <w:t xml:space="preserve"> </w:t>
      </w:r>
      <w:r w:rsidRPr="003F4697">
        <w:rPr>
          <w:rFonts w:ascii="Verdana" w:hAnsi="Verdana"/>
          <w:sz w:val="20"/>
          <w:szCs w:val="20"/>
        </w:rPr>
        <w:t xml:space="preserve">Para corregir esta situación, la Comisión Europea propuso el </w:t>
      </w:r>
      <w:hyperlink r:id="rId11" w:history="1">
        <w:r w:rsidRPr="003F4697">
          <w:rPr>
            <w:rStyle w:val="Hipervnculo"/>
            <w:rFonts w:ascii="Verdana" w:hAnsi="Verdana"/>
            <w:b/>
            <w:bCs/>
            <w:sz w:val="20"/>
            <w:szCs w:val="20"/>
          </w:rPr>
          <w:t>Reglamento COM(2023) 533</w:t>
        </w:r>
      </w:hyperlink>
      <w:r w:rsidRPr="003F4697">
        <w:rPr>
          <w:rFonts w:ascii="Verdana" w:hAnsi="Verdana"/>
          <w:sz w:val="20"/>
          <w:szCs w:val="20"/>
        </w:rPr>
        <w:t xml:space="preserve">, que sustituiría a la directiva vigente y tendría </w:t>
      </w:r>
      <w:r w:rsidRPr="003F4697">
        <w:rPr>
          <w:rFonts w:ascii="Verdana" w:hAnsi="Verdana"/>
          <w:b/>
          <w:bCs/>
          <w:sz w:val="20"/>
          <w:szCs w:val="20"/>
        </w:rPr>
        <w:t>aplicación directa en todos los Estados miembros</w:t>
      </w:r>
      <w:r w:rsidRPr="003F4697">
        <w:rPr>
          <w:rFonts w:ascii="Verdana" w:hAnsi="Verdana"/>
          <w:sz w:val="20"/>
          <w:szCs w:val="20"/>
        </w:rPr>
        <w:t>, lo que permitiría una aplicación más homogénea y efectiva.</w:t>
      </w:r>
    </w:p>
    <w:p w14:paraId="24FE1506" w14:textId="77777777" w:rsidR="003F4697" w:rsidRPr="003F4697" w:rsidRDefault="003F4697" w:rsidP="00623F14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F4697">
        <w:rPr>
          <w:rFonts w:ascii="Verdana" w:hAnsi="Verdana"/>
          <w:sz w:val="20"/>
          <w:szCs w:val="20"/>
        </w:rPr>
        <w:t xml:space="preserve">La propuesta inicial contemplaba </w:t>
      </w:r>
      <w:r w:rsidRPr="003F4697">
        <w:rPr>
          <w:rFonts w:ascii="Verdana" w:hAnsi="Verdana"/>
          <w:b/>
          <w:bCs/>
          <w:sz w:val="20"/>
          <w:szCs w:val="20"/>
        </w:rPr>
        <w:t>un plazo único de pago de 30 días naturales</w:t>
      </w:r>
      <w:r w:rsidRPr="003F4697">
        <w:rPr>
          <w:rFonts w:ascii="Verdana" w:hAnsi="Verdana"/>
          <w:sz w:val="20"/>
          <w:szCs w:val="20"/>
        </w:rPr>
        <w:t xml:space="preserve">, la </w:t>
      </w:r>
      <w:r w:rsidRPr="003F4697">
        <w:rPr>
          <w:rFonts w:ascii="Verdana" w:hAnsi="Verdana"/>
          <w:b/>
          <w:bCs/>
          <w:sz w:val="20"/>
          <w:szCs w:val="20"/>
        </w:rPr>
        <w:t>creación de autoridades nacionales de supervisión</w:t>
      </w:r>
      <w:r w:rsidRPr="003F4697">
        <w:rPr>
          <w:rFonts w:ascii="Verdana" w:hAnsi="Verdana"/>
          <w:sz w:val="20"/>
          <w:szCs w:val="20"/>
        </w:rPr>
        <w:t xml:space="preserve"> y </w:t>
      </w:r>
      <w:r w:rsidRPr="003F4697">
        <w:rPr>
          <w:rFonts w:ascii="Verdana" w:hAnsi="Verdana"/>
          <w:b/>
          <w:bCs/>
          <w:sz w:val="20"/>
          <w:szCs w:val="20"/>
        </w:rPr>
        <w:t>sanciones automáticas en caso de incumplimiento</w:t>
      </w:r>
      <w:r w:rsidRPr="003F4697">
        <w:rPr>
          <w:rFonts w:ascii="Verdana" w:hAnsi="Verdana"/>
          <w:sz w:val="20"/>
          <w:szCs w:val="20"/>
        </w:rPr>
        <w:t xml:space="preserve">. Sin embargo, durante su tramitación en el Parlamento Europeo se introdujeron algunas </w:t>
      </w:r>
      <w:r w:rsidRPr="003F4697">
        <w:rPr>
          <w:rFonts w:ascii="Verdana" w:hAnsi="Verdana"/>
          <w:b/>
          <w:bCs/>
          <w:sz w:val="20"/>
          <w:szCs w:val="20"/>
        </w:rPr>
        <w:t>excepciones sectoriales</w:t>
      </w:r>
      <w:r w:rsidRPr="003F4697">
        <w:rPr>
          <w:rFonts w:ascii="Verdana" w:hAnsi="Verdana"/>
          <w:sz w:val="20"/>
          <w:szCs w:val="20"/>
        </w:rPr>
        <w:t>, que permitirían ampliar los plazos en situaciones justificadas, como productos de baja rotación o estacionales.</w:t>
      </w:r>
    </w:p>
    <w:p w14:paraId="42794F1C" w14:textId="77777777" w:rsidR="003F4697" w:rsidRDefault="003F4697" w:rsidP="00623F14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F4697">
        <w:rPr>
          <w:rFonts w:ascii="Verdana" w:hAnsi="Verdana"/>
          <w:sz w:val="20"/>
          <w:szCs w:val="20"/>
        </w:rPr>
        <w:t xml:space="preserve">Actualmente, el texto se encuentra en fase de debate en el </w:t>
      </w:r>
      <w:r w:rsidRPr="003F4697">
        <w:rPr>
          <w:rFonts w:ascii="Verdana" w:hAnsi="Verdana"/>
          <w:b/>
          <w:bCs/>
          <w:sz w:val="20"/>
          <w:szCs w:val="20"/>
        </w:rPr>
        <w:t>Consejo Europeo</w:t>
      </w:r>
      <w:r w:rsidRPr="003F4697">
        <w:rPr>
          <w:rFonts w:ascii="Verdana" w:hAnsi="Verdana"/>
          <w:sz w:val="20"/>
          <w:szCs w:val="20"/>
        </w:rPr>
        <w:t xml:space="preserve">, donde las diferencias económicas y culturales entre países están dificultando el consenso. Mientras Estados como </w:t>
      </w:r>
      <w:r w:rsidRPr="003F4697">
        <w:rPr>
          <w:rFonts w:ascii="Verdana" w:hAnsi="Verdana"/>
          <w:b/>
          <w:bCs/>
          <w:sz w:val="20"/>
          <w:szCs w:val="20"/>
        </w:rPr>
        <w:t>Dinamarca o Países Bajos</w:t>
      </w:r>
      <w:r w:rsidRPr="003F4697">
        <w:rPr>
          <w:rFonts w:ascii="Verdana" w:hAnsi="Verdana"/>
          <w:sz w:val="20"/>
          <w:szCs w:val="20"/>
        </w:rPr>
        <w:t xml:space="preserve"> presentan altos niveles de puntualidad en los </w:t>
      </w:r>
      <w:r w:rsidRPr="003F4697">
        <w:rPr>
          <w:rFonts w:ascii="Verdana" w:hAnsi="Verdana"/>
          <w:sz w:val="20"/>
          <w:szCs w:val="20"/>
        </w:rPr>
        <w:lastRenderedPageBreak/>
        <w:t>pagos, otros países europeos registran niveles de morosidad significativamente más elevados.</w:t>
      </w:r>
    </w:p>
    <w:p w14:paraId="337EE391" w14:textId="77777777" w:rsidR="00A6351D" w:rsidRPr="003F4697" w:rsidRDefault="00A6351D" w:rsidP="00623F14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F4697">
        <w:rPr>
          <w:rFonts w:ascii="Verdana" w:hAnsi="Verdana"/>
          <w:sz w:val="20"/>
          <w:szCs w:val="20"/>
        </w:rPr>
        <w:t xml:space="preserve">Para la PMcM, el debate europeo sobre la morosidad representa </w:t>
      </w:r>
      <w:r w:rsidRPr="003F4697">
        <w:rPr>
          <w:rFonts w:ascii="Verdana" w:hAnsi="Verdana"/>
          <w:b/>
          <w:bCs/>
          <w:sz w:val="20"/>
          <w:szCs w:val="20"/>
        </w:rPr>
        <w:t>una oportunidad histórica para corregir un problema estructural</w:t>
      </w:r>
      <w:r w:rsidRPr="003F4697">
        <w:rPr>
          <w:rFonts w:ascii="Verdana" w:hAnsi="Verdana"/>
          <w:sz w:val="20"/>
          <w:szCs w:val="20"/>
        </w:rPr>
        <w:t xml:space="preserve"> que afecta especialmente a las empresas más pequeñas.</w:t>
      </w:r>
      <w:r>
        <w:rPr>
          <w:rFonts w:ascii="Verdana" w:hAnsi="Verdana"/>
          <w:sz w:val="20"/>
          <w:szCs w:val="20"/>
        </w:rPr>
        <w:t xml:space="preserve"> </w:t>
      </w:r>
      <w:r w:rsidRPr="003F4697">
        <w:rPr>
          <w:rFonts w:ascii="Verdana" w:hAnsi="Verdana"/>
          <w:sz w:val="20"/>
          <w:szCs w:val="20"/>
        </w:rPr>
        <w:t>“</w:t>
      </w:r>
      <w:r w:rsidRPr="003F4697">
        <w:rPr>
          <w:rFonts w:ascii="Verdana" w:hAnsi="Verdana"/>
          <w:b/>
          <w:bCs/>
          <w:sz w:val="20"/>
          <w:szCs w:val="20"/>
        </w:rPr>
        <w:t>La pregunta clave es si Europa va a proteger de verdad a las pequeñas empresas o si se dejará arrastrar una vez más por las excepciones y los intereses particulares</w:t>
      </w:r>
      <w:r w:rsidRPr="003F4697">
        <w:rPr>
          <w:rFonts w:ascii="Verdana" w:hAnsi="Verdana"/>
          <w:sz w:val="20"/>
          <w:szCs w:val="20"/>
        </w:rPr>
        <w:t xml:space="preserve">”, </w:t>
      </w:r>
      <w:r>
        <w:rPr>
          <w:rFonts w:ascii="Verdana" w:hAnsi="Verdana"/>
          <w:sz w:val="20"/>
          <w:szCs w:val="20"/>
        </w:rPr>
        <w:t>insiste</w:t>
      </w:r>
      <w:r w:rsidRPr="003F4697">
        <w:rPr>
          <w:rFonts w:ascii="Verdana" w:hAnsi="Verdana"/>
          <w:sz w:val="20"/>
          <w:szCs w:val="20"/>
        </w:rPr>
        <w:t xml:space="preserve"> Cañete.</w:t>
      </w:r>
    </w:p>
    <w:p w14:paraId="56EAA5C2" w14:textId="77777777" w:rsidR="007C1C6F" w:rsidRPr="005763BB" w:rsidRDefault="007C1C6F" w:rsidP="00623F14">
      <w:pPr>
        <w:spacing w:before="100" w:beforeAutospacing="1" w:after="100" w:afterAutospacing="1"/>
        <w:jc w:val="both"/>
        <w:rPr>
          <w:rFonts w:ascii="Verdana" w:hAnsi="Verdana"/>
          <w:b/>
          <w:bCs/>
          <w:sz w:val="20"/>
          <w:szCs w:val="20"/>
        </w:rPr>
      </w:pPr>
      <w:r w:rsidRPr="005763BB">
        <w:rPr>
          <w:rFonts w:ascii="Verdana" w:hAnsi="Verdana"/>
          <w:b/>
          <w:bCs/>
          <w:sz w:val="20"/>
          <w:szCs w:val="20"/>
        </w:rPr>
        <w:t>Más restricción en las condiciones de pago</w:t>
      </w:r>
    </w:p>
    <w:p w14:paraId="1538283D" w14:textId="35E22542" w:rsidR="003F4697" w:rsidRPr="0038264F" w:rsidRDefault="003F4697" w:rsidP="00623F14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F4697">
        <w:rPr>
          <w:rFonts w:ascii="Verdana" w:hAnsi="Verdana"/>
          <w:sz w:val="20"/>
          <w:szCs w:val="20"/>
        </w:rPr>
        <w:t xml:space="preserve">El debate sobre el futuro reglamento europeo gira en torno a si </w:t>
      </w:r>
      <w:r w:rsidRPr="003F4697">
        <w:rPr>
          <w:rFonts w:ascii="Verdana" w:hAnsi="Verdana"/>
          <w:b/>
          <w:bCs/>
          <w:sz w:val="20"/>
          <w:szCs w:val="20"/>
        </w:rPr>
        <w:t>deben limitarse aún más los plazos de pago</w:t>
      </w:r>
      <w:r w:rsidR="00A52086" w:rsidRPr="00A52086">
        <w:rPr>
          <w:rFonts w:ascii="Verdana" w:hAnsi="Verdana"/>
          <w:sz w:val="20"/>
          <w:szCs w:val="20"/>
        </w:rPr>
        <w:t>, que</w:t>
      </w:r>
      <w:r w:rsidR="00A52086">
        <w:rPr>
          <w:rFonts w:ascii="Verdana" w:hAnsi="Verdana"/>
          <w:b/>
          <w:bCs/>
          <w:sz w:val="20"/>
          <w:szCs w:val="20"/>
        </w:rPr>
        <w:t xml:space="preserve"> </w:t>
      </w:r>
      <w:r w:rsidR="00A52086">
        <w:rPr>
          <w:rFonts w:ascii="Verdana" w:hAnsi="Verdana"/>
          <w:sz w:val="20"/>
          <w:szCs w:val="20"/>
        </w:rPr>
        <w:t>a</w:t>
      </w:r>
      <w:r w:rsidRPr="003F4697">
        <w:rPr>
          <w:rFonts w:ascii="Verdana" w:hAnsi="Verdana"/>
          <w:sz w:val="20"/>
          <w:szCs w:val="20"/>
        </w:rPr>
        <w:t xml:space="preserve">ctualmente el marco comunitario establece </w:t>
      </w:r>
      <w:r w:rsidR="00A52086">
        <w:rPr>
          <w:rFonts w:ascii="Verdana" w:hAnsi="Verdana"/>
          <w:sz w:val="20"/>
          <w:szCs w:val="20"/>
        </w:rPr>
        <w:t xml:space="preserve">en </w:t>
      </w:r>
      <w:r w:rsidRPr="003F4697">
        <w:rPr>
          <w:rFonts w:ascii="Verdana" w:hAnsi="Verdana"/>
          <w:sz w:val="20"/>
          <w:szCs w:val="20"/>
        </w:rPr>
        <w:t xml:space="preserve">un máximo de </w:t>
      </w:r>
      <w:r w:rsidRPr="003F4697">
        <w:rPr>
          <w:rFonts w:ascii="Verdana" w:hAnsi="Verdana"/>
          <w:b/>
          <w:bCs/>
          <w:sz w:val="20"/>
          <w:szCs w:val="20"/>
        </w:rPr>
        <w:t>60 días para operaciones entre empresas</w:t>
      </w:r>
      <w:r w:rsidRPr="003F4697">
        <w:rPr>
          <w:rFonts w:ascii="Verdana" w:hAnsi="Verdana"/>
          <w:sz w:val="20"/>
          <w:szCs w:val="20"/>
        </w:rPr>
        <w:t xml:space="preserve"> y </w:t>
      </w:r>
      <w:r w:rsidRPr="003F4697">
        <w:rPr>
          <w:rFonts w:ascii="Verdana" w:hAnsi="Verdana"/>
          <w:b/>
          <w:bCs/>
          <w:sz w:val="20"/>
          <w:szCs w:val="20"/>
        </w:rPr>
        <w:t>30 días para el sector público</w:t>
      </w:r>
      <w:r w:rsidRPr="003F4697">
        <w:rPr>
          <w:rFonts w:ascii="Verdana" w:hAnsi="Verdana"/>
          <w:sz w:val="20"/>
          <w:szCs w:val="20"/>
        </w:rPr>
        <w:t>.</w:t>
      </w:r>
      <w:r w:rsidR="005763BB">
        <w:rPr>
          <w:rFonts w:ascii="Verdana" w:hAnsi="Verdana"/>
          <w:sz w:val="20"/>
          <w:szCs w:val="20"/>
        </w:rPr>
        <w:t xml:space="preserve"> </w:t>
      </w:r>
      <w:r w:rsidRPr="003F4697">
        <w:rPr>
          <w:rFonts w:ascii="Verdana" w:hAnsi="Verdana"/>
          <w:sz w:val="20"/>
          <w:szCs w:val="20"/>
        </w:rPr>
        <w:t>S</w:t>
      </w:r>
      <w:r w:rsidR="005763BB">
        <w:rPr>
          <w:rFonts w:ascii="Verdana" w:hAnsi="Verdana"/>
          <w:sz w:val="20"/>
          <w:szCs w:val="20"/>
        </w:rPr>
        <w:t xml:space="preserve">egún </w:t>
      </w:r>
      <w:r w:rsidRPr="003F4697">
        <w:rPr>
          <w:rFonts w:ascii="Verdana" w:hAnsi="Verdana"/>
          <w:sz w:val="20"/>
          <w:szCs w:val="20"/>
        </w:rPr>
        <w:t>el informe del Observatorio Europeo</w:t>
      </w:r>
      <w:r w:rsidR="005763BB">
        <w:rPr>
          <w:rFonts w:ascii="Verdana" w:hAnsi="Verdana"/>
          <w:sz w:val="20"/>
          <w:szCs w:val="20"/>
        </w:rPr>
        <w:t xml:space="preserve">, </w:t>
      </w:r>
      <w:r w:rsidRPr="003F4697">
        <w:rPr>
          <w:rFonts w:ascii="Verdana" w:hAnsi="Verdana"/>
          <w:b/>
          <w:bCs/>
          <w:sz w:val="20"/>
          <w:szCs w:val="20"/>
        </w:rPr>
        <w:t>los plazos medios reales superan estos límites</w:t>
      </w:r>
      <w:r w:rsidRPr="003F4697">
        <w:rPr>
          <w:rFonts w:ascii="Verdana" w:hAnsi="Verdana"/>
          <w:sz w:val="20"/>
          <w:szCs w:val="20"/>
        </w:rPr>
        <w:t xml:space="preserve">, alcanzando </w:t>
      </w:r>
      <w:r w:rsidRPr="003F4697">
        <w:rPr>
          <w:rFonts w:ascii="Verdana" w:hAnsi="Verdana"/>
          <w:b/>
          <w:bCs/>
          <w:sz w:val="20"/>
          <w:szCs w:val="20"/>
        </w:rPr>
        <w:t>60,3 días en las operaciones entre empresas</w:t>
      </w:r>
      <w:r w:rsidRPr="003F4697">
        <w:rPr>
          <w:rFonts w:ascii="Verdana" w:hAnsi="Verdana"/>
          <w:sz w:val="20"/>
          <w:szCs w:val="20"/>
        </w:rPr>
        <w:t xml:space="preserve"> y </w:t>
      </w:r>
      <w:r w:rsidRPr="003F4697">
        <w:rPr>
          <w:rFonts w:ascii="Verdana" w:hAnsi="Verdana"/>
          <w:b/>
          <w:bCs/>
          <w:sz w:val="20"/>
          <w:szCs w:val="20"/>
        </w:rPr>
        <w:t xml:space="preserve">69,8 días en las transacciones </w:t>
      </w:r>
      <w:r w:rsidRPr="0038264F">
        <w:rPr>
          <w:rFonts w:ascii="Verdana" w:hAnsi="Verdana"/>
          <w:b/>
          <w:bCs/>
          <w:sz w:val="20"/>
          <w:szCs w:val="20"/>
        </w:rPr>
        <w:t>entre Administraciones Públicas y empresas</w:t>
      </w:r>
      <w:r w:rsidRPr="0038264F">
        <w:rPr>
          <w:rFonts w:ascii="Verdana" w:hAnsi="Verdana"/>
          <w:sz w:val="20"/>
          <w:szCs w:val="20"/>
        </w:rPr>
        <w:t>.</w:t>
      </w:r>
    </w:p>
    <w:p w14:paraId="46C0C67E" w14:textId="4CF6E657" w:rsidR="003F4697" w:rsidRPr="0038264F" w:rsidRDefault="003F4697" w:rsidP="00623F14">
      <w:pPr>
        <w:tabs>
          <w:tab w:val="num" w:pos="72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8264F">
        <w:rPr>
          <w:rFonts w:ascii="Verdana" w:hAnsi="Verdana"/>
          <w:sz w:val="20"/>
          <w:szCs w:val="20"/>
        </w:rPr>
        <w:t>E</w:t>
      </w:r>
      <w:r w:rsidR="00C74737" w:rsidRPr="0038264F">
        <w:rPr>
          <w:rFonts w:ascii="Verdana" w:hAnsi="Verdana"/>
          <w:sz w:val="20"/>
          <w:szCs w:val="20"/>
        </w:rPr>
        <w:t>ste</w:t>
      </w:r>
      <w:r w:rsidRPr="0038264F">
        <w:rPr>
          <w:rFonts w:ascii="Verdana" w:hAnsi="Verdana"/>
          <w:sz w:val="20"/>
          <w:szCs w:val="20"/>
        </w:rPr>
        <w:t xml:space="preserve"> panel muestra que </w:t>
      </w:r>
      <w:r w:rsidRPr="0038264F">
        <w:rPr>
          <w:rFonts w:ascii="Verdana" w:hAnsi="Verdana"/>
          <w:b/>
          <w:bCs/>
          <w:sz w:val="20"/>
          <w:szCs w:val="20"/>
        </w:rPr>
        <w:t>una mayoría de empresas europeas respalda limitar los plazos de pago</w:t>
      </w:r>
      <w:r w:rsidRPr="0038264F">
        <w:rPr>
          <w:rFonts w:ascii="Verdana" w:hAnsi="Verdana"/>
          <w:sz w:val="20"/>
          <w:szCs w:val="20"/>
        </w:rPr>
        <w:t xml:space="preserve">. El </w:t>
      </w:r>
      <w:r w:rsidRPr="0038264F">
        <w:rPr>
          <w:rFonts w:ascii="Verdana" w:hAnsi="Verdana"/>
          <w:b/>
          <w:bCs/>
          <w:sz w:val="20"/>
          <w:szCs w:val="20"/>
        </w:rPr>
        <w:t>41% de los encuestados</w:t>
      </w:r>
      <w:r w:rsidRPr="0038264F">
        <w:rPr>
          <w:rFonts w:ascii="Verdana" w:hAnsi="Verdana"/>
          <w:sz w:val="20"/>
          <w:szCs w:val="20"/>
        </w:rPr>
        <w:t xml:space="preserve"> apoya establecer </w:t>
      </w:r>
      <w:r w:rsidRPr="0038264F">
        <w:rPr>
          <w:rFonts w:ascii="Verdana" w:hAnsi="Verdana"/>
          <w:b/>
          <w:bCs/>
          <w:sz w:val="20"/>
          <w:szCs w:val="20"/>
        </w:rPr>
        <w:t>un plazo máximo obligatorio entre empresas</w:t>
      </w:r>
      <w:r w:rsidRPr="0038264F">
        <w:rPr>
          <w:rFonts w:ascii="Verdana" w:hAnsi="Verdana"/>
          <w:sz w:val="20"/>
          <w:szCs w:val="20"/>
        </w:rPr>
        <w:t>, mientras que un</w:t>
      </w:r>
      <w:r w:rsidRPr="0038264F">
        <w:rPr>
          <w:rFonts w:ascii="Verdana" w:hAnsi="Verdana"/>
          <w:b/>
          <w:bCs/>
          <w:sz w:val="20"/>
          <w:szCs w:val="20"/>
        </w:rPr>
        <w:t xml:space="preserve"> 23% adicional</w:t>
      </w:r>
      <w:r w:rsidRPr="0038264F">
        <w:rPr>
          <w:rFonts w:ascii="Verdana" w:hAnsi="Verdana"/>
          <w:sz w:val="20"/>
          <w:szCs w:val="20"/>
        </w:rPr>
        <w:t xml:space="preserve"> lo respalda siempre que exista </w:t>
      </w:r>
      <w:r w:rsidRPr="0038264F">
        <w:rPr>
          <w:rFonts w:ascii="Verdana" w:hAnsi="Verdana"/>
          <w:b/>
          <w:bCs/>
          <w:sz w:val="20"/>
          <w:szCs w:val="20"/>
        </w:rPr>
        <w:t>flexibilidad para determinados sectores</w:t>
      </w:r>
      <w:r w:rsidR="007C1C6F" w:rsidRPr="0038264F">
        <w:rPr>
          <w:rFonts w:ascii="Verdana" w:hAnsi="Verdana"/>
          <w:b/>
          <w:bCs/>
          <w:sz w:val="20"/>
          <w:szCs w:val="20"/>
        </w:rPr>
        <w:t xml:space="preserve">, y </w:t>
      </w:r>
      <w:r w:rsidR="007C1C6F" w:rsidRPr="0038264F">
        <w:rPr>
          <w:rFonts w:ascii="Verdana" w:hAnsi="Verdana"/>
          <w:sz w:val="20"/>
          <w:szCs w:val="20"/>
        </w:rPr>
        <w:t xml:space="preserve">el </w:t>
      </w:r>
      <w:r w:rsidRPr="0038264F">
        <w:rPr>
          <w:rFonts w:ascii="Verdana" w:hAnsi="Verdana"/>
          <w:b/>
          <w:bCs/>
          <w:sz w:val="20"/>
          <w:szCs w:val="20"/>
        </w:rPr>
        <w:t>37% restante</w:t>
      </w:r>
      <w:r w:rsidRPr="0038264F">
        <w:rPr>
          <w:rFonts w:ascii="Verdana" w:hAnsi="Verdana"/>
          <w:sz w:val="20"/>
          <w:szCs w:val="20"/>
        </w:rPr>
        <w:t xml:space="preserve"> se opone a fijar un límite legal.</w:t>
      </w:r>
      <w:r w:rsidR="00C74737" w:rsidRPr="0038264F">
        <w:rPr>
          <w:rFonts w:ascii="Verdana" w:hAnsi="Verdana"/>
          <w:sz w:val="20"/>
          <w:szCs w:val="20"/>
        </w:rPr>
        <w:t xml:space="preserve"> </w:t>
      </w:r>
      <w:r w:rsidRPr="0038264F">
        <w:rPr>
          <w:rFonts w:ascii="Verdana" w:hAnsi="Verdana"/>
          <w:sz w:val="20"/>
          <w:szCs w:val="20"/>
        </w:rPr>
        <w:t xml:space="preserve">En conjunto, </w:t>
      </w:r>
      <w:r w:rsidRPr="0038264F">
        <w:rPr>
          <w:rFonts w:ascii="Verdana" w:hAnsi="Verdana"/>
          <w:b/>
          <w:bCs/>
          <w:sz w:val="20"/>
          <w:szCs w:val="20"/>
        </w:rPr>
        <w:t>el 63% de las empresas europeas apoya algún tipo de limitación de los plazos de pago</w:t>
      </w:r>
      <w:r w:rsidRPr="0038264F">
        <w:rPr>
          <w:rFonts w:ascii="Verdana" w:hAnsi="Verdana"/>
          <w:sz w:val="20"/>
          <w:szCs w:val="20"/>
        </w:rPr>
        <w:t xml:space="preserve">. Entre quienes respaldan un límite obligatorio, </w:t>
      </w:r>
      <w:r w:rsidRPr="0038264F">
        <w:rPr>
          <w:rFonts w:ascii="Verdana" w:hAnsi="Verdana"/>
          <w:b/>
          <w:bCs/>
          <w:sz w:val="20"/>
          <w:szCs w:val="20"/>
        </w:rPr>
        <w:t>la opción preferida es un plazo de 30 días</w:t>
      </w:r>
      <w:r w:rsidRPr="0038264F">
        <w:rPr>
          <w:rFonts w:ascii="Verdana" w:hAnsi="Verdana"/>
          <w:sz w:val="20"/>
          <w:szCs w:val="20"/>
        </w:rPr>
        <w:t xml:space="preserve">, apoyada por el </w:t>
      </w:r>
      <w:r w:rsidRPr="0038264F">
        <w:rPr>
          <w:rFonts w:ascii="Verdana" w:hAnsi="Verdana"/>
          <w:b/>
          <w:bCs/>
          <w:sz w:val="20"/>
          <w:szCs w:val="20"/>
        </w:rPr>
        <w:t>31% de los encuestados</w:t>
      </w:r>
      <w:r w:rsidRPr="0038264F">
        <w:rPr>
          <w:rFonts w:ascii="Verdana" w:hAnsi="Verdana"/>
          <w:sz w:val="20"/>
          <w:szCs w:val="20"/>
        </w:rPr>
        <w:t xml:space="preserve">, seguida por un límite de </w:t>
      </w:r>
      <w:r w:rsidRPr="0038264F">
        <w:rPr>
          <w:rFonts w:ascii="Verdana" w:hAnsi="Verdana"/>
          <w:b/>
          <w:bCs/>
          <w:sz w:val="20"/>
          <w:szCs w:val="20"/>
        </w:rPr>
        <w:t>60 días</w:t>
      </w:r>
      <w:r w:rsidRPr="0038264F">
        <w:rPr>
          <w:rFonts w:ascii="Verdana" w:hAnsi="Verdana"/>
          <w:sz w:val="20"/>
          <w:szCs w:val="20"/>
        </w:rPr>
        <w:t>.</w:t>
      </w:r>
    </w:p>
    <w:p w14:paraId="14A80AC4" w14:textId="3CC6D995" w:rsidR="00A6351D" w:rsidRPr="0038264F" w:rsidRDefault="00A6351D" w:rsidP="00623F14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8264F">
        <w:rPr>
          <w:rFonts w:ascii="Verdana" w:hAnsi="Verdana"/>
          <w:sz w:val="20"/>
          <w:szCs w:val="20"/>
        </w:rPr>
        <w:t xml:space="preserve">La PMcM confía en que el futuro reglamento europeo se convierta en </w:t>
      </w:r>
      <w:r w:rsidRPr="0038264F">
        <w:rPr>
          <w:rFonts w:ascii="Verdana" w:hAnsi="Verdana"/>
          <w:b/>
          <w:bCs/>
          <w:sz w:val="20"/>
          <w:szCs w:val="20"/>
        </w:rPr>
        <w:t>una herramienta eficaz para reducir la morosidad, fortalecer la liquidez de las empresas más vulnerables y favorecer un crecimiento económico más sólido</w:t>
      </w:r>
      <w:r w:rsidRPr="0038264F">
        <w:rPr>
          <w:rFonts w:ascii="Verdana" w:hAnsi="Verdana"/>
          <w:sz w:val="20"/>
          <w:szCs w:val="20"/>
        </w:rPr>
        <w:t xml:space="preserve">. Además, recuerda que </w:t>
      </w:r>
      <w:r w:rsidRPr="0038264F">
        <w:rPr>
          <w:rFonts w:ascii="Verdana" w:hAnsi="Verdana"/>
          <w:b/>
          <w:bCs/>
          <w:sz w:val="20"/>
          <w:szCs w:val="20"/>
        </w:rPr>
        <w:t>la lucha contra la morosidad sigue siendo una prioridad en la agenda de la Comisión Europea para 2026</w:t>
      </w:r>
      <w:r w:rsidRPr="0038264F">
        <w:rPr>
          <w:rFonts w:ascii="Verdana" w:hAnsi="Verdana"/>
          <w:sz w:val="20"/>
          <w:szCs w:val="20"/>
        </w:rPr>
        <w:t>, lo que refuerza la necesidad de avanzar hacia un marco normativo más efectivo.</w:t>
      </w:r>
    </w:p>
    <w:bookmarkEnd w:id="0"/>
    <w:bookmarkEnd w:id="1"/>
    <w:p w14:paraId="33993033" w14:textId="77777777" w:rsidR="00726A1C" w:rsidRPr="00AC0AFC" w:rsidRDefault="00726A1C" w:rsidP="00726A1C">
      <w:pPr>
        <w:spacing w:before="120" w:after="120"/>
        <w:jc w:val="both"/>
        <w:rPr>
          <w:rFonts w:ascii="Verdana" w:hAnsi="Verdana" w:cs="Calibri"/>
          <w:sz w:val="18"/>
          <w:szCs w:val="18"/>
        </w:rPr>
      </w:pPr>
      <w:r w:rsidRPr="00AC0AFC">
        <w:rPr>
          <w:rFonts w:ascii="Verdana" w:hAnsi="Verdana" w:cs="Verdana"/>
          <w:b/>
          <w:bCs/>
          <w:sz w:val="18"/>
          <w:szCs w:val="18"/>
        </w:rPr>
        <w:t>Sobre la PMcM</w:t>
      </w:r>
    </w:p>
    <w:p w14:paraId="16DAEF7E" w14:textId="77777777" w:rsidR="00726A1C" w:rsidRPr="00AC0AFC" w:rsidRDefault="00726A1C" w:rsidP="00726A1C">
      <w:pPr>
        <w:jc w:val="both"/>
        <w:rPr>
          <w:rFonts w:ascii="Verdana" w:hAnsi="Verdana" w:cs="Verdana"/>
          <w:sz w:val="18"/>
          <w:szCs w:val="18"/>
        </w:rPr>
      </w:pPr>
      <w:r w:rsidRPr="00AC0AFC">
        <w:rPr>
          <w:rFonts w:ascii="Verdana" w:hAnsi="Verdana" w:cs="Verdana"/>
          <w:sz w:val="18"/>
          <w:szCs w:val="18"/>
        </w:rPr>
        <w:t>La Plataforma Multisectorial contra la Morosidad (PMcM) agrupa a entidades estatales, autonómicas y sectoriales, que en conjunto representan a cerca de 1 millón de empresas -con una cifra de negocio cercana a los 150.000 millones de euros- y que dan empleo a más de 4,5 millones de trabajadores y autónomos (</w:t>
      </w:r>
      <w:hyperlink r:id="rId12" w:history="1">
        <w:r w:rsidRPr="00AC0AFC">
          <w:rPr>
            <w:rStyle w:val="Hipervnculo"/>
            <w:rFonts w:ascii="Verdana" w:eastAsiaTheme="majorEastAsia" w:hAnsi="Verdana" w:cs="Verdana"/>
            <w:color w:val="auto"/>
            <w:sz w:val="18"/>
            <w:szCs w:val="18"/>
          </w:rPr>
          <w:t>www.pmcm.es</w:t>
        </w:r>
      </w:hyperlink>
      <w:r w:rsidRPr="00AC0AFC">
        <w:rPr>
          <w:rFonts w:ascii="Verdana" w:hAnsi="Verdana" w:cs="Verdana"/>
          <w:sz w:val="18"/>
          <w:szCs w:val="18"/>
        </w:rPr>
        <w:t>). Asimismo, la PMcM tiene reconocida en la propia Ley 15/2010 su legitimación activa en este ámbito.</w:t>
      </w:r>
    </w:p>
    <w:p w14:paraId="68227BE1" w14:textId="77777777" w:rsidR="00726A1C" w:rsidRPr="00AC0AFC" w:rsidRDefault="00726A1C" w:rsidP="00726A1C">
      <w:pPr>
        <w:jc w:val="both"/>
        <w:rPr>
          <w:rFonts w:ascii="Verdana" w:hAnsi="Verdana" w:cs="Verdana"/>
          <w:b/>
          <w:bCs/>
          <w:i/>
          <w:sz w:val="16"/>
          <w:szCs w:val="16"/>
        </w:rPr>
      </w:pPr>
      <w:r w:rsidRPr="00AC0AFC">
        <w:rPr>
          <w:rFonts w:ascii="Verdana" w:hAnsi="Verdana" w:cs="Verdana"/>
          <w:b/>
          <w:bCs/>
          <w:i/>
          <w:sz w:val="16"/>
          <w:szCs w:val="16"/>
        </w:rPr>
        <w:t>Cuenta oficial de Twitter: @PMcMorosidad  Antoni Cañete, presidente de PMcM: @AntoniCanete</w:t>
      </w:r>
    </w:p>
    <w:p w14:paraId="0DF74F0B" w14:textId="77777777" w:rsidR="00726A1C" w:rsidRPr="00AC0AFC" w:rsidRDefault="00726A1C" w:rsidP="00726A1C">
      <w:pPr>
        <w:jc w:val="both"/>
        <w:rPr>
          <w:rFonts w:ascii="Verdana" w:hAnsi="Verdana" w:cs="Verdana"/>
          <w:b/>
          <w:bCs/>
          <w:i/>
          <w:sz w:val="16"/>
          <w:szCs w:val="16"/>
        </w:rPr>
      </w:pPr>
      <w:r w:rsidRPr="00AC0AFC">
        <w:rPr>
          <w:rFonts w:ascii="Verdana" w:hAnsi="Verdana" w:cs="Verdana"/>
          <w:b/>
          <w:bCs/>
          <w:i/>
          <w:sz w:val="16"/>
          <w:szCs w:val="16"/>
        </w:rPr>
        <w:t xml:space="preserve">Página web: </w:t>
      </w:r>
      <w:hyperlink r:id="rId13" w:history="1">
        <w:r w:rsidRPr="00AC0AFC">
          <w:rPr>
            <w:rStyle w:val="Hipervnculo"/>
            <w:rFonts w:ascii="Verdana" w:eastAsiaTheme="majorEastAsia" w:hAnsi="Verdana" w:cs="Verdana"/>
            <w:b/>
            <w:bCs/>
            <w:i/>
            <w:color w:val="auto"/>
            <w:sz w:val="16"/>
            <w:szCs w:val="16"/>
          </w:rPr>
          <w:t>http://www.pmcm.es/</w:t>
        </w:r>
      </w:hyperlink>
      <w:r w:rsidRPr="00AC0AFC">
        <w:rPr>
          <w:rFonts w:ascii="Verdana" w:hAnsi="Verdana" w:cs="Verdana"/>
          <w:b/>
          <w:bCs/>
          <w:i/>
          <w:sz w:val="16"/>
          <w:szCs w:val="16"/>
        </w:rPr>
        <w:t xml:space="preserve">Blog morosidad: </w:t>
      </w:r>
      <w:hyperlink r:id="rId14" w:history="1">
        <w:r w:rsidRPr="00AC0AFC">
          <w:rPr>
            <w:rStyle w:val="Hipervnculo"/>
            <w:rFonts w:ascii="Verdana" w:eastAsiaTheme="majorEastAsia" w:hAnsi="Verdana" w:cs="Verdana"/>
            <w:b/>
            <w:bCs/>
            <w:i/>
            <w:color w:val="auto"/>
            <w:sz w:val="16"/>
            <w:szCs w:val="16"/>
          </w:rPr>
          <w:t>http://www.pmcm.es/blog</w:t>
        </w:r>
      </w:hyperlink>
    </w:p>
    <w:p w14:paraId="63A0067A" w14:textId="77777777" w:rsidR="00726A1C" w:rsidRPr="00AC0AFC" w:rsidRDefault="00726A1C" w:rsidP="00726A1C">
      <w:pPr>
        <w:jc w:val="both"/>
        <w:rPr>
          <w:rFonts w:ascii="Verdana" w:hAnsi="Verdana" w:cs="Verdana"/>
          <w:b/>
          <w:bCs/>
          <w:i/>
          <w:sz w:val="16"/>
          <w:szCs w:val="16"/>
        </w:rPr>
      </w:pPr>
      <w:r w:rsidRPr="00AC0AFC">
        <w:rPr>
          <w:rFonts w:ascii="Verdana" w:hAnsi="Verdana" w:cs="Verdana"/>
          <w:b/>
          <w:bCs/>
          <w:i/>
          <w:sz w:val="16"/>
          <w:szCs w:val="16"/>
        </w:rPr>
        <w:t xml:space="preserve">Notas de prensa: </w:t>
      </w:r>
      <w:hyperlink r:id="rId15" w:history="1">
        <w:r w:rsidRPr="00AC0AFC">
          <w:rPr>
            <w:rStyle w:val="Hipervnculo"/>
            <w:rFonts w:ascii="Verdana" w:eastAsiaTheme="majorEastAsia" w:hAnsi="Verdana" w:cs="Verdana"/>
            <w:b/>
            <w:bCs/>
            <w:i/>
            <w:color w:val="auto"/>
            <w:sz w:val="16"/>
            <w:szCs w:val="16"/>
          </w:rPr>
          <w:t>http://www.pmcm.es/blog/postetiqueta/nota-de-prensa/32</w:t>
        </w:r>
      </w:hyperlink>
    </w:p>
    <w:p w14:paraId="0D2559FA" w14:textId="77777777" w:rsidR="00726A1C" w:rsidRPr="00AC0AFC" w:rsidRDefault="00726A1C" w:rsidP="00726A1C">
      <w:pPr>
        <w:jc w:val="both"/>
        <w:rPr>
          <w:rFonts w:ascii="Verdana" w:hAnsi="Verdana"/>
          <w:b/>
          <w:i/>
          <w:sz w:val="16"/>
          <w:szCs w:val="16"/>
        </w:rPr>
      </w:pPr>
      <w:r w:rsidRPr="00AC0AFC">
        <w:rPr>
          <w:rFonts w:ascii="Verdana" w:hAnsi="Verdana"/>
          <w:b/>
          <w:i/>
          <w:sz w:val="16"/>
          <w:szCs w:val="16"/>
        </w:rPr>
        <w:t xml:space="preserve">Campaña de recogida de firmas en Change.org para conseguir </w:t>
      </w:r>
      <w:hyperlink r:id="rId16" w:history="1">
        <w:r w:rsidRPr="00AC0AFC">
          <w:rPr>
            <w:rStyle w:val="Hipervnculo"/>
            <w:rFonts w:ascii="Verdana" w:eastAsiaTheme="majorEastAsia" w:hAnsi="Verdana"/>
            <w:b/>
            <w:i/>
            <w:color w:val="auto"/>
            <w:sz w:val="16"/>
            <w:szCs w:val="16"/>
          </w:rPr>
          <w:t>"que nuestros clientes cumplan con los plazos de pago legales"</w:t>
        </w:r>
      </w:hyperlink>
    </w:p>
    <w:p w14:paraId="18F9CAAA" w14:textId="0408C6FD" w:rsidR="00E035A2" w:rsidRPr="00726A1C" w:rsidRDefault="00726A1C" w:rsidP="00962DD1">
      <w:pPr>
        <w:jc w:val="both"/>
      </w:pPr>
      <w:r w:rsidRPr="00AC0AFC">
        <w:rPr>
          <w:rFonts w:ascii="Verdana" w:hAnsi="Verdana" w:cs="Verdana"/>
          <w:b/>
          <w:bCs/>
          <w:sz w:val="18"/>
          <w:szCs w:val="18"/>
        </w:rPr>
        <w:t xml:space="preserve">Más información: Roman. </w:t>
      </w:r>
      <w:r w:rsidRPr="00AC0AFC">
        <w:rPr>
          <w:rFonts w:ascii="Verdana" w:hAnsi="Verdana" w:cs="Verdana"/>
          <w:bCs/>
          <w:sz w:val="18"/>
          <w:szCs w:val="18"/>
        </w:rPr>
        <w:t>Telf.</w:t>
      </w:r>
      <w:r w:rsidRPr="00AC0AFC">
        <w:rPr>
          <w:rFonts w:ascii="Verdana" w:hAnsi="Verdana" w:cs="Verdana"/>
          <w:sz w:val="18"/>
          <w:szCs w:val="18"/>
        </w:rPr>
        <w:t xml:space="preserve">91 591 55 00  / 650 03 09 46.  Anabel Palacio </w:t>
      </w:r>
      <w:hyperlink r:id="rId17" w:history="1">
        <w:r w:rsidRPr="00AC0AFC">
          <w:rPr>
            <w:rFonts w:ascii="Verdana" w:hAnsi="Verdana" w:cs="Verdana"/>
            <w:color w:val="0000FF"/>
            <w:sz w:val="18"/>
            <w:szCs w:val="18"/>
            <w:u w:val="single"/>
          </w:rPr>
          <w:t>a.palacio@romanrm.com</w:t>
        </w:r>
      </w:hyperlink>
      <w:r w:rsidRPr="00AC0AFC">
        <w:rPr>
          <w:rFonts w:ascii="Verdana" w:hAnsi="Verdana" w:cs="Verdana"/>
          <w:color w:val="0000FF"/>
          <w:sz w:val="18"/>
          <w:szCs w:val="18"/>
          <w:u w:val="single"/>
        </w:rPr>
        <w:t xml:space="preserve"> </w:t>
      </w:r>
      <w:r w:rsidRPr="00AC0AFC">
        <w:rPr>
          <w:rFonts w:ascii="Verdana" w:hAnsi="Verdana" w:cs="Verdana"/>
          <w:sz w:val="18"/>
          <w:szCs w:val="18"/>
        </w:rPr>
        <w:t xml:space="preserve">    Yolanda Domingo </w:t>
      </w:r>
      <w:hyperlink r:id="rId18" w:history="1">
        <w:r w:rsidRPr="00AC0AFC">
          <w:rPr>
            <w:rFonts w:ascii="Verdana" w:hAnsi="Verdana" w:cs="Verdana"/>
            <w:color w:val="0000FF"/>
            <w:sz w:val="18"/>
            <w:szCs w:val="18"/>
            <w:u w:val="single"/>
          </w:rPr>
          <w:t>y.domingo@romanrm.com</w:t>
        </w:r>
      </w:hyperlink>
    </w:p>
    <w:sectPr w:rsidR="00E035A2" w:rsidRPr="00726A1C" w:rsidSect="00A1786C">
      <w:headerReference w:type="default" r:id="rId19"/>
      <w:pgSz w:w="11906" w:h="16838"/>
      <w:pgMar w:top="1560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AB3E" w14:textId="77777777" w:rsidR="008A5C23" w:rsidRDefault="008A5C23">
      <w:r>
        <w:separator/>
      </w:r>
    </w:p>
  </w:endnote>
  <w:endnote w:type="continuationSeparator" w:id="0">
    <w:p w14:paraId="516A537C" w14:textId="77777777" w:rsidR="008A5C23" w:rsidRDefault="008A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A89CD" w14:textId="77777777" w:rsidR="008A5C23" w:rsidRDefault="008A5C23">
      <w:r>
        <w:separator/>
      </w:r>
    </w:p>
  </w:footnote>
  <w:footnote w:type="continuationSeparator" w:id="0">
    <w:p w14:paraId="79E52B7C" w14:textId="77777777" w:rsidR="008A5C23" w:rsidRDefault="008A5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DEF6" w14:textId="77777777" w:rsidR="00C71A13" w:rsidRPr="001F07C1" w:rsidRDefault="00FF3CE5" w:rsidP="001F07C1">
    <w:pPr>
      <w:jc w:val="right"/>
      <w:rPr>
        <w:rFonts w:ascii="Verdana" w:hAnsi="Verdana"/>
        <w:b/>
        <w:color w:val="FF0000"/>
        <w:sz w:val="18"/>
        <w:szCs w:val="18"/>
      </w:rPr>
    </w:pPr>
    <w:r w:rsidRPr="001F07C1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0F783DB" wp14:editId="128A403A">
          <wp:simplePos x="0" y="0"/>
          <wp:positionH relativeFrom="column">
            <wp:posOffset>2142490</wp:posOffset>
          </wp:positionH>
          <wp:positionV relativeFrom="paragraph">
            <wp:posOffset>-240030</wp:posOffset>
          </wp:positionV>
          <wp:extent cx="1619250" cy="492760"/>
          <wp:effectExtent l="0" t="0" r="0" b="2540"/>
          <wp:wrapSquare wrapText="bothSides"/>
          <wp:docPr id="230084178" name="Imagen 230084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F07C1">
      <w:rPr>
        <w:rFonts w:ascii="Verdana" w:hAnsi="Verdana"/>
        <w:b/>
        <w:color w:val="FF0000"/>
        <w:sz w:val="18"/>
        <w:szCs w:val="18"/>
      </w:rPr>
      <w:t>NOTA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22C97"/>
    <w:multiLevelType w:val="hybridMultilevel"/>
    <w:tmpl w:val="CA12D1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5777F"/>
    <w:multiLevelType w:val="multilevel"/>
    <w:tmpl w:val="2B34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4285407">
    <w:abstractNumId w:val="0"/>
  </w:num>
  <w:num w:numId="2" w16cid:durableId="1103303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21"/>
    <w:rsid w:val="00007CAC"/>
    <w:rsid w:val="00022E91"/>
    <w:rsid w:val="00023069"/>
    <w:rsid w:val="000311BC"/>
    <w:rsid w:val="00031950"/>
    <w:rsid w:val="0005427C"/>
    <w:rsid w:val="0005650E"/>
    <w:rsid w:val="00057ACF"/>
    <w:rsid w:val="00075EBB"/>
    <w:rsid w:val="000779A6"/>
    <w:rsid w:val="0008142C"/>
    <w:rsid w:val="000818EF"/>
    <w:rsid w:val="000838C7"/>
    <w:rsid w:val="00090C76"/>
    <w:rsid w:val="00094730"/>
    <w:rsid w:val="000B524C"/>
    <w:rsid w:val="000C00A6"/>
    <w:rsid w:val="000D62C2"/>
    <w:rsid w:val="000E0329"/>
    <w:rsid w:val="000E719E"/>
    <w:rsid w:val="000F058F"/>
    <w:rsid w:val="000F3413"/>
    <w:rsid w:val="00100B21"/>
    <w:rsid w:val="0010147C"/>
    <w:rsid w:val="0011141C"/>
    <w:rsid w:val="001143F1"/>
    <w:rsid w:val="00164742"/>
    <w:rsid w:val="00196725"/>
    <w:rsid w:val="0019720B"/>
    <w:rsid w:val="001A0E43"/>
    <w:rsid w:val="001A1A1D"/>
    <w:rsid w:val="001A7E19"/>
    <w:rsid w:val="001C31E4"/>
    <w:rsid w:val="001C50B0"/>
    <w:rsid w:val="001C5434"/>
    <w:rsid w:val="001F329F"/>
    <w:rsid w:val="001F4E94"/>
    <w:rsid w:val="00200627"/>
    <w:rsid w:val="00203F5C"/>
    <w:rsid w:val="00207E8F"/>
    <w:rsid w:val="00212D6F"/>
    <w:rsid w:val="00213526"/>
    <w:rsid w:val="0022232F"/>
    <w:rsid w:val="00225A74"/>
    <w:rsid w:val="00242655"/>
    <w:rsid w:val="00253A98"/>
    <w:rsid w:val="00254ED9"/>
    <w:rsid w:val="002578CD"/>
    <w:rsid w:val="00261FA5"/>
    <w:rsid w:val="00263403"/>
    <w:rsid w:val="00276BCB"/>
    <w:rsid w:val="002828EA"/>
    <w:rsid w:val="002955D1"/>
    <w:rsid w:val="00297E45"/>
    <w:rsid w:val="002B024F"/>
    <w:rsid w:val="002C3966"/>
    <w:rsid w:val="002C3FF9"/>
    <w:rsid w:val="00303450"/>
    <w:rsid w:val="00305D97"/>
    <w:rsid w:val="00307046"/>
    <w:rsid w:val="003102A4"/>
    <w:rsid w:val="00316900"/>
    <w:rsid w:val="00320624"/>
    <w:rsid w:val="0032791E"/>
    <w:rsid w:val="00333A8B"/>
    <w:rsid w:val="00357C78"/>
    <w:rsid w:val="003602F5"/>
    <w:rsid w:val="003604E5"/>
    <w:rsid w:val="003611BE"/>
    <w:rsid w:val="00370B61"/>
    <w:rsid w:val="0038264F"/>
    <w:rsid w:val="003B092B"/>
    <w:rsid w:val="003D21A4"/>
    <w:rsid w:val="003E0FFA"/>
    <w:rsid w:val="003E33E8"/>
    <w:rsid w:val="003E3F28"/>
    <w:rsid w:val="003E4FD4"/>
    <w:rsid w:val="003E66B5"/>
    <w:rsid w:val="003F0E0D"/>
    <w:rsid w:val="003F4697"/>
    <w:rsid w:val="004001E5"/>
    <w:rsid w:val="004056CD"/>
    <w:rsid w:val="004160E5"/>
    <w:rsid w:val="00416A09"/>
    <w:rsid w:val="00421FFC"/>
    <w:rsid w:val="004455EE"/>
    <w:rsid w:val="0046374E"/>
    <w:rsid w:val="004662C9"/>
    <w:rsid w:val="00467AB4"/>
    <w:rsid w:val="004728A2"/>
    <w:rsid w:val="00483178"/>
    <w:rsid w:val="0048369F"/>
    <w:rsid w:val="00487FA9"/>
    <w:rsid w:val="004913B3"/>
    <w:rsid w:val="00495AE4"/>
    <w:rsid w:val="004A3CD1"/>
    <w:rsid w:val="004B6069"/>
    <w:rsid w:val="004C2638"/>
    <w:rsid w:val="004C5EF4"/>
    <w:rsid w:val="004E1115"/>
    <w:rsid w:val="004F724E"/>
    <w:rsid w:val="00510BEC"/>
    <w:rsid w:val="005161C6"/>
    <w:rsid w:val="0052193E"/>
    <w:rsid w:val="00526D8C"/>
    <w:rsid w:val="0053054A"/>
    <w:rsid w:val="005309B9"/>
    <w:rsid w:val="00565EC1"/>
    <w:rsid w:val="00566151"/>
    <w:rsid w:val="0057039C"/>
    <w:rsid w:val="005763BB"/>
    <w:rsid w:val="00580EB5"/>
    <w:rsid w:val="005A053D"/>
    <w:rsid w:val="005A7167"/>
    <w:rsid w:val="005A7CB7"/>
    <w:rsid w:val="005B481C"/>
    <w:rsid w:val="005B6340"/>
    <w:rsid w:val="005B776F"/>
    <w:rsid w:val="005C6F64"/>
    <w:rsid w:val="005D1B05"/>
    <w:rsid w:val="005D31E2"/>
    <w:rsid w:val="005E154D"/>
    <w:rsid w:val="005F65FA"/>
    <w:rsid w:val="006063F0"/>
    <w:rsid w:val="00616057"/>
    <w:rsid w:val="006228A2"/>
    <w:rsid w:val="00623D3B"/>
    <w:rsid w:val="00623F14"/>
    <w:rsid w:val="006559A2"/>
    <w:rsid w:val="00656FAD"/>
    <w:rsid w:val="00662B4E"/>
    <w:rsid w:val="00670C98"/>
    <w:rsid w:val="006974E0"/>
    <w:rsid w:val="006B0792"/>
    <w:rsid w:val="006B6026"/>
    <w:rsid w:val="006B70E3"/>
    <w:rsid w:val="006D34EC"/>
    <w:rsid w:val="006E0C70"/>
    <w:rsid w:val="006E6D98"/>
    <w:rsid w:val="0070522E"/>
    <w:rsid w:val="007119A1"/>
    <w:rsid w:val="00717F75"/>
    <w:rsid w:val="00726A1C"/>
    <w:rsid w:val="00735479"/>
    <w:rsid w:val="00737596"/>
    <w:rsid w:val="00744C20"/>
    <w:rsid w:val="0075218F"/>
    <w:rsid w:val="00756021"/>
    <w:rsid w:val="00767E11"/>
    <w:rsid w:val="00782192"/>
    <w:rsid w:val="00792A12"/>
    <w:rsid w:val="00793E96"/>
    <w:rsid w:val="00795C4E"/>
    <w:rsid w:val="007A6DE0"/>
    <w:rsid w:val="007B381B"/>
    <w:rsid w:val="007C1C6F"/>
    <w:rsid w:val="007C2FBC"/>
    <w:rsid w:val="007C65B4"/>
    <w:rsid w:val="007C7CD1"/>
    <w:rsid w:val="007D5482"/>
    <w:rsid w:val="007D7686"/>
    <w:rsid w:val="007E1B1F"/>
    <w:rsid w:val="007F1AC2"/>
    <w:rsid w:val="007F5040"/>
    <w:rsid w:val="007F6E36"/>
    <w:rsid w:val="00811C4C"/>
    <w:rsid w:val="00822FEF"/>
    <w:rsid w:val="00840791"/>
    <w:rsid w:val="00842534"/>
    <w:rsid w:val="00847CE2"/>
    <w:rsid w:val="008613E3"/>
    <w:rsid w:val="0086225F"/>
    <w:rsid w:val="00863F37"/>
    <w:rsid w:val="008708DC"/>
    <w:rsid w:val="008727EE"/>
    <w:rsid w:val="00873933"/>
    <w:rsid w:val="00880001"/>
    <w:rsid w:val="00886A9F"/>
    <w:rsid w:val="00897D18"/>
    <w:rsid w:val="008A5C1D"/>
    <w:rsid w:val="008A5C23"/>
    <w:rsid w:val="008A6587"/>
    <w:rsid w:val="008B167E"/>
    <w:rsid w:val="008C0783"/>
    <w:rsid w:val="008D4C2E"/>
    <w:rsid w:val="00903E3D"/>
    <w:rsid w:val="00910719"/>
    <w:rsid w:val="0091549F"/>
    <w:rsid w:val="00924C2F"/>
    <w:rsid w:val="00926A78"/>
    <w:rsid w:val="009355D5"/>
    <w:rsid w:val="0095092D"/>
    <w:rsid w:val="00952113"/>
    <w:rsid w:val="0096105C"/>
    <w:rsid w:val="009620E6"/>
    <w:rsid w:val="00962DD1"/>
    <w:rsid w:val="0096388E"/>
    <w:rsid w:val="00967519"/>
    <w:rsid w:val="009748AA"/>
    <w:rsid w:val="009761D7"/>
    <w:rsid w:val="00976DD1"/>
    <w:rsid w:val="00977537"/>
    <w:rsid w:val="0097792C"/>
    <w:rsid w:val="00991117"/>
    <w:rsid w:val="009915F1"/>
    <w:rsid w:val="009A023A"/>
    <w:rsid w:val="009A3C33"/>
    <w:rsid w:val="009B0506"/>
    <w:rsid w:val="009B2A88"/>
    <w:rsid w:val="009B4CA3"/>
    <w:rsid w:val="009B60B2"/>
    <w:rsid w:val="009C2384"/>
    <w:rsid w:val="009E1B99"/>
    <w:rsid w:val="009E2BDA"/>
    <w:rsid w:val="009E5C26"/>
    <w:rsid w:val="00A03033"/>
    <w:rsid w:val="00A038D2"/>
    <w:rsid w:val="00A04EFE"/>
    <w:rsid w:val="00A06BB4"/>
    <w:rsid w:val="00A14FB6"/>
    <w:rsid w:val="00A1786C"/>
    <w:rsid w:val="00A4033E"/>
    <w:rsid w:val="00A41669"/>
    <w:rsid w:val="00A42298"/>
    <w:rsid w:val="00A52086"/>
    <w:rsid w:val="00A6351D"/>
    <w:rsid w:val="00AA4F92"/>
    <w:rsid w:val="00AB1B10"/>
    <w:rsid w:val="00AB3FD3"/>
    <w:rsid w:val="00AD5ED6"/>
    <w:rsid w:val="00AD7E39"/>
    <w:rsid w:val="00AF2E4F"/>
    <w:rsid w:val="00AF7C76"/>
    <w:rsid w:val="00B33768"/>
    <w:rsid w:val="00B456D5"/>
    <w:rsid w:val="00B55AE2"/>
    <w:rsid w:val="00B620EE"/>
    <w:rsid w:val="00B73159"/>
    <w:rsid w:val="00BA1B83"/>
    <w:rsid w:val="00BA3B74"/>
    <w:rsid w:val="00BA798C"/>
    <w:rsid w:val="00BB16D4"/>
    <w:rsid w:val="00BB40F3"/>
    <w:rsid w:val="00BB60B5"/>
    <w:rsid w:val="00BC7756"/>
    <w:rsid w:val="00BD3F31"/>
    <w:rsid w:val="00BF1964"/>
    <w:rsid w:val="00BF2235"/>
    <w:rsid w:val="00BF3B8B"/>
    <w:rsid w:val="00BF56DA"/>
    <w:rsid w:val="00C00A32"/>
    <w:rsid w:val="00C07C51"/>
    <w:rsid w:val="00C23464"/>
    <w:rsid w:val="00C30D22"/>
    <w:rsid w:val="00C44E27"/>
    <w:rsid w:val="00C54F1C"/>
    <w:rsid w:val="00C55BB3"/>
    <w:rsid w:val="00C675FB"/>
    <w:rsid w:val="00C67893"/>
    <w:rsid w:val="00C71A13"/>
    <w:rsid w:val="00C73F84"/>
    <w:rsid w:val="00C74737"/>
    <w:rsid w:val="00C81309"/>
    <w:rsid w:val="00C8512F"/>
    <w:rsid w:val="00C97428"/>
    <w:rsid w:val="00CB3F49"/>
    <w:rsid w:val="00CB4F4F"/>
    <w:rsid w:val="00CC1635"/>
    <w:rsid w:val="00CC1BD6"/>
    <w:rsid w:val="00CC6E58"/>
    <w:rsid w:val="00CE0022"/>
    <w:rsid w:val="00CE2EF0"/>
    <w:rsid w:val="00CE3646"/>
    <w:rsid w:val="00CE3E1F"/>
    <w:rsid w:val="00CF41C7"/>
    <w:rsid w:val="00D05E9C"/>
    <w:rsid w:val="00D12B43"/>
    <w:rsid w:val="00D13CE8"/>
    <w:rsid w:val="00D214DC"/>
    <w:rsid w:val="00D305E2"/>
    <w:rsid w:val="00D4237C"/>
    <w:rsid w:val="00D520F5"/>
    <w:rsid w:val="00D56544"/>
    <w:rsid w:val="00D57202"/>
    <w:rsid w:val="00D70D96"/>
    <w:rsid w:val="00D85EC2"/>
    <w:rsid w:val="00D96B3A"/>
    <w:rsid w:val="00DA21DC"/>
    <w:rsid w:val="00DE718B"/>
    <w:rsid w:val="00DF75B2"/>
    <w:rsid w:val="00DF7EC4"/>
    <w:rsid w:val="00E035A2"/>
    <w:rsid w:val="00E06121"/>
    <w:rsid w:val="00E07718"/>
    <w:rsid w:val="00E10673"/>
    <w:rsid w:val="00E2541D"/>
    <w:rsid w:val="00E27173"/>
    <w:rsid w:val="00E2759E"/>
    <w:rsid w:val="00E43328"/>
    <w:rsid w:val="00E4745A"/>
    <w:rsid w:val="00E52064"/>
    <w:rsid w:val="00E56FA7"/>
    <w:rsid w:val="00E609DA"/>
    <w:rsid w:val="00E623A8"/>
    <w:rsid w:val="00E63976"/>
    <w:rsid w:val="00E66639"/>
    <w:rsid w:val="00E76FB4"/>
    <w:rsid w:val="00E82AA4"/>
    <w:rsid w:val="00E86128"/>
    <w:rsid w:val="00E96084"/>
    <w:rsid w:val="00EB324C"/>
    <w:rsid w:val="00EC6B0C"/>
    <w:rsid w:val="00EE191E"/>
    <w:rsid w:val="00EF339E"/>
    <w:rsid w:val="00EF7510"/>
    <w:rsid w:val="00F1153E"/>
    <w:rsid w:val="00F15551"/>
    <w:rsid w:val="00F22592"/>
    <w:rsid w:val="00F24442"/>
    <w:rsid w:val="00F3371F"/>
    <w:rsid w:val="00F3544A"/>
    <w:rsid w:val="00F35DCB"/>
    <w:rsid w:val="00F438CB"/>
    <w:rsid w:val="00F46B16"/>
    <w:rsid w:val="00F477FD"/>
    <w:rsid w:val="00F47B67"/>
    <w:rsid w:val="00F5556A"/>
    <w:rsid w:val="00F71416"/>
    <w:rsid w:val="00F72BF3"/>
    <w:rsid w:val="00F81F0E"/>
    <w:rsid w:val="00FB552A"/>
    <w:rsid w:val="00FB6039"/>
    <w:rsid w:val="00FC1B3D"/>
    <w:rsid w:val="00FD359F"/>
    <w:rsid w:val="00FD3B15"/>
    <w:rsid w:val="00FE1486"/>
    <w:rsid w:val="00FE3F83"/>
    <w:rsid w:val="00FF3CE5"/>
    <w:rsid w:val="17951852"/>
    <w:rsid w:val="2EE3DF0E"/>
    <w:rsid w:val="4DEAB565"/>
    <w:rsid w:val="5AEAE655"/>
    <w:rsid w:val="67DA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2554"/>
  <w15:chartTrackingRefBased/>
  <w15:docId w15:val="{63EF01ED-38BA-4D8E-9E1B-C5B0D5FC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06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6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6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6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6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61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61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61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61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612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612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6121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6121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6121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6121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6121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6121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6121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E061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612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E06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6121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E06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6121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E061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61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6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6121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E0612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rsid w:val="00726A1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609DA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styleId="Mencinsinresolver">
    <w:name w:val="Unresolved Mention"/>
    <w:basedOn w:val="Fuentedeprrafopredeter"/>
    <w:uiPriority w:val="99"/>
    <w:semiHidden/>
    <w:unhideWhenUsed/>
    <w:rsid w:val="00991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E2E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7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084602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206099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495514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2231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900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233727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554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1660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62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661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08798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14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mcm.es/" TargetMode="External"/><Relationship Id="rId18" Type="http://schemas.openxmlformats.org/officeDocument/2006/relationships/hyperlink" Target="mailto:y.domingo@romanrm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pmcm.es" TargetMode="External"/><Relationship Id="rId17" Type="http://schemas.openxmlformats.org/officeDocument/2006/relationships/hyperlink" Target="mailto:a.palacio@romanrm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hange.org/p/ministerio-de-justicia-ministerio-de-hacienda-y-administraciones-p%C3%BAblicas-congreso-de-los-diputados-que-nuestros-clientes-cumplan-con-los-plazos-de-pago-legales?recruiter=219480146&amp;utm_source=share_petition&amp;utm_medium=twitter&amp;utm_campaign=share_twitter_responsiv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hrome-extension://efaidnbmnnnibpcajpcglclefindmkaj/https:/single-market-economy.ec.europa.eu/system/files/2023-09/COM_2023_533_1_EN_ACT_part1_v7.pdf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pmcm.es/blog/postetiqueta/nota-de-prensa/32" TargetMode="External"/><Relationship Id="rId10" Type="http://schemas.openxmlformats.org/officeDocument/2006/relationships/hyperlink" Target="https://single-market-economy.ec.europa.eu/document/download/db1722d8-9cad-40fd-9ad4-f56a907317fa_en?filename=AnnualReport2025_FinalC.pdf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mcm.es/blo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835534E01B6345906D551A899F1903" ma:contentTypeVersion="11" ma:contentTypeDescription="Crear nuevo documento." ma:contentTypeScope="" ma:versionID="d1be614b2f3c460e58761f03257269b6">
  <xsd:schema xmlns:xsd="http://www.w3.org/2001/XMLSchema" xmlns:xs="http://www.w3.org/2001/XMLSchema" xmlns:p="http://schemas.microsoft.com/office/2006/metadata/properties" xmlns:ns2="c04fa4df-8cb7-4968-937d-fcc32a5cb482" targetNamespace="http://schemas.microsoft.com/office/2006/metadata/properties" ma:root="true" ma:fieldsID="cf7e8ad8a38fb72d92c42e67b01ddab6" ns2:_="">
    <xsd:import namespace="c04fa4df-8cb7-4968-937d-fcc32a5cb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System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fa4df-8cb7-4968-937d-fcc32a5cb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C9C8-0D10-4C00-B891-6C6C97C159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836BB2-FC06-4612-A102-B4465BCF4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fa4df-8cb7-4968-937d-fcc32a5cb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595D7-A9D0-4F94-B093-0322A1AED8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1103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 Palacio</dc:creator>
  <cp:keywords/>
  <dc:description/>
  <cp:lastModifiedBy>Pilar Ferrer</cp:lastModifiedBy>
  <cp:revision>2</cp:revision>
  <dcterms:created xsi:type="dcterms:W3CDTF">2026-03-12T09:30:00Z</dcterms:created>
  <dcterms:modified xsi:type="dcterms:W3CDTF">2026-03-12T09:30:00Z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0x010100F4835534E01B6345906D551A899F1903</vt:lpwstr>
  </property>
  <property fmtid="{D5CDD505-2E9C-101B-9397-08002B2CF9AE}" pid="3" name="Order">
    <vt:r8>913600</vt:r8>
  </property>
</Properties>
</file>